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0C" w:rsidRPr="00DE22D0" w:rsidRDefault="00415C0C" w:rsidP="00DE22D0">
      <w:pPr>
        <w:spacing w:after="0" w:line="240" w:lineRule="auto"/>
        <w:rPr>
          <w:rFonts w:ascii="Times New Roman" w:hAnsi="Times New Roman" w:cs="Times New Roman"/>
          <w:sz w:val="20"/>
          <w:szCs w:val="20"/>
        </w:rPr>
        <w:sectPr w:rsidR="00415C0C" w:rsidRPr="00DE22D0" w:rsidSect="00A27FE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p>
    <w:p w:rsidR="00A742C9" w:rsidRPr="00DE22D0" w:rsidRDefault="00C023B7" w:rsidP="00DE22D0">
      <w:pPr>
        <w:spacing w:after="0" w:line="240" w:lineRule="auto"/>
        <w:rPr>
          <w:rFonts w:ascii="Times New Roman" w:hAnsi="Times New Roman" w:cs="Times New Roman"/>
          <w:bCs/>
          <w:sz w:val="24"/>
          <w:szCs w:val="24"/>
          <w:lang w:val="en-GB"/>
        </w:rPr>
      </w:pPr>
      <w:r w:rsidRPr="00DE22D0">
        <w:rPr>
          <w:rFonts w:ascii="Times New Roman" w:hAnsi="Times New Roman" w:cs="Times New Roman"/>
          <w:b/>
          <w:sz w:val="28"/>
          <w:szCs w:val="28"/>
          <w:lang w:val="en-GB"/>
        </w:rPr>
        <w:t>FRAILTY AND SUBCLINICAL ATHEROSCLEROSIS</w:t>
      </w:r>
    </w:p>
    <w:p w:rsidR="003F32D3" w:rsidRPr="00DE22D0" w:rsidRDefault="00C023B7" w:rsidP="00DE22D0">
      <w:pPr>
        <w:autoSpaceDE w:val="0"/>
        <w:autoSpaceDN w:val="0"/>
        <w:adjustRightInd w:val="0"/>
        <w:spacing w:after="0" w:line="240" w:lineRule="auto"/>
        <w:rPr>
          <w:rFonts w:ascii="Times New Roman" w:hAnsi="Times New Roman" w:cs="Times New Roman"/>
          <w:b/>
          <w:bCs/>
          <w:sz w:val="24"/>
          <w:szCs w:val="24"/>
          <w:vertAlign w:val="superscript"/>
          <w:lang w:val="en-GB"/>
        </w:rPr>
      </w:pPr>
      <w:r w:rsidRPr="00DE22D0">
        <w:rPr>
          <w:rFonts w:ascii="Times New Roman" w:hAnsi="Times New Roman" w:cs="Times New Roman"/>
          <w:b/>
          <w:bCs/>
          <w:sz w:val="24"/>
          <w:szCs w:val="24"/>
          <w:lang w:val="en-GB"/>
        </w:rPr>
        <w:t>Moatassem Salah Amer*</w:t>
      </w:r>
      <w:r w:rsidRPr="00DE22D0">
        <w:rPr>
          <w:rFonts w:ascii="Times New Roman" w:hAnsi="Times New Roman" w:cs="Times New Roman"/>
          <w:b/>
          <w:bCs/>
          <w:sz w:val="24"/>
          <w:szCs w:val="24"/>
          <w:vertAlign w:val="superscript"/>
          <w:lang w:val="en-GB"/>
        </w:rPr>
        <w:t>1</w:t>
      </w:r>
      <w:r w:rsidRPr="00DE22D0">
        <w:rPr>
          <w:rFonts w:ascii="Times New Roman" w:hAnsi="Times New Roman" w:cs="Times New Roman"/>
          <w:b/>
          <w:bCs/>
          <w:sz w:val="24"/>
          <w:szCs w:val="24"/>
          <w:lang w:val="en-GB"/>
        </w:rPr>
        <w:t>, Randa Abdel WahabReda Mabrouk</w:t>
      </w:r>
      <w:r w:rsidRPr="00DE22D0">
        <w:rPr>
          <w:rFonts w:ascii="Times New Roman" w:hAnsi="Times New Roman" w:cs="Times New Roman"/>
          <w:b/>
          <w:bCs/>
          <w:sz w:val="24"/>
          <w:szCs w:val="24"/>
          <w:vertAlign w:val="superscript"/>
          <w:lang w:val="en-GB"/>
        </w:rPr>
        <w:t>2</w:t>
      </w:r>
      <w:r w:rsidRPr="00DE22D0">
        <w:rPr>
          <w:rFonts w:ascii="Times New Roman" w:hAnsi="Times New Roman" w:cs="Times New Roman"/>
          <w:b/>
          <w:bCs/>
          <w:sz w:val="24"/>
          <w:szCs w:val="24"/>
          <w:lang w:val="en-GB"/>
        </w:rPr>
        <w:t xml:space="preserve"> , Omar Hussein Omar</w:t>
      </w:r>
      <w:r w:rsidRPr="00DE22D0">
        <w:rPr>
          <w:rFonts w:ascii="Times New Roman" w:hAnsi="Times New Roman" w:cs="Times New Roman"/>
          <w:b/>
          <w:bCs/>
          <w:sz w:val="24"/>
          <w:szCs w:val="24"/>
          <w:vertAlign w:val="superscript"/>
          <w:lang w:val="en-GB"/>
        </w:rPr>
        <w:t>3</w:t>
      </w:r>
      <w:r w:rsidRPr="00DE22D0">
        <w:rPr>
          <w:rFonts w:ascii="Times New Roman" w:hAnsi="Times New Roman" w:cs="Times New Roman"/>
          <w:b/>
          <w:bCs/>
          <w:sz w:val="24"/>
          <w:szCs w:val="24"/>
          <w:lang w:val="en-GB"/>
        </w:rPr>
        <w:t>, Tarekkhairy Abdel Dayem</w:t>
      </w:r>
      <w:r w:rsidRPr="00DE22D0">
        <w:rPr>
          <w:rFonts w:ascii="Times New Roman" w:hAnsi="Times New Roman" w:cs="Times New Roman"/>
          <w:b/>
          <w:bCs/>
          <w:sz w:val="24"/>
          <w:szCs w:val="24"/>
          <w:vertAlign w:val="superscript"/>
          <w:lang w:val="en-GB"/>
        </w:rPr>
        <w:t>4</w:t>
      </w:r>
      <w:r w:rsidRPr="00DE22D0">
        <w:rPr>
          <w:rFonts w:ascii="Times New Roman" w:hAnsi="Times New Roman" w:cs="Times New Roman"/>
          <w:b/>
          <w:bCs/>
          <w:sz w:val="24"/>
          <w:szCs w:val="24"/>
          <w:lang w:val="en-GB"/>
        </w:rPr>
        <w:t>, Samia Ahmed Abdul-Rahman</w:t>
      </w:r>
      <w:r w:rsidRPr="00DE22D0">
        <w:rPr>
          <w:rFonts w:ascii="Times New Roman" w:hAnsi="Times New Roman" w:cs="Times New Roman"/>
          <w:b/>
          <w:bCs/>
          <w:sz w:val="24"/>
          <w:szCs w:val="24"/>
          <w:vertAlign w:val="superscript"/>
          <w:lang w:val="en-GB"/>
        </w:rPr>
        <w:t>5</w:t>
      </w:r>
      <w:r w:rsidRPr="00DE22D0">
        <w:rPr>
          <w:rFonts w:ascii="Times New Roman" w:hAnsi="Times New Roman" w:cs="Times New Roman"/>
          <w:b/>
          <w:bCs/>
          <w:sz w:val="24"/>
          <w:szCs w:val="24"/>
          <w:lang w:val="en-GB"/>
        </w:rPr>
        <w:t>&amp; Basma</w:t>
      </w:r>
      <w:r w:rsidR="00DE22D0">
        <w:rPr>
          <w:rFonts w:ascii="Times New Roman" w:hAnsi="Times New Roman" w:cs="Times New Roman"/>
          <w:b/>
          <w:bCs/>
          <w:sz w:val="24"/>
          <w:szCs w:val="24"/>
          <w:lang w:val="en-GB"/>
        </w:rPr>
        <w:t xml:space="preserve"> </w:t>
      </w:r>
      <w:r w:rsidRPr="00DE22D0">
        <w:rPr>
          <w:rFonts w:ascii="Times New Roman" w:hAnsi="Times New Roman" w:cs="Times New Roman"/>
          <w:b/>
          <w:bCs/>
          <w:sz w:val="24"/>
          <w:szCs w:val="24"/>
          <w:lang w:val="en-GB"/>
        </w:rPr>
        <w:t>Kamel Abdel Aziz</w:t>
      </w:r>
      <w:r w:rsidRPr="00DE22D0">
        <w:rPr>
          <w:rFonts w:ascii="Times New Roman" w:hAnsi="Times New Roman" w:cs="Times New Roman"/>
          <w:b/>
          <w:bCs/>
          <w:sz w:val="24"/>
          <w:szCs w:val="24"/>
          <w:vertAlign w:val="superscript"/>
          <w:lang w:val="en-GB"/>
        </w:rPr>
        <w:t>6</w:t>
      </w:r>
    </w:p>
    <w:p w:rsidR="00C023B7" w:rsidRPr="00DE22D0" w:rsidRDefault="00C023B7" w:rsidP="00DE22D0">
      <w:pPr>
        <w:autoSpaceDE w:val="0"/>
        <w:autoSpaceDN w:val="0"/>
        <w:adjustRightInd w:val="0"/>
        <w:spacing w:after="0" w:line="240" w:lineRule="auto"/>
        <w:rPr>
          <w:rFonts w:ascii="Times New Roman" w:hAnsi="Times New Roman" w:cs="Times New Roman"/>
          <w:b/>
          <w:color w:val="000000"/>
          <w:sz w:val="18"/>
          <w:szCs w:val="18"/>
        </w:rPr>
      </w:pPr>
    </w:p>
    <w:p w:rsidR="00C023B7" w:rsidRPr="00DE22D0" w:rsidRDefault="00DB7C7B" w:rsidP="00DE22D0">
      <w:pPr>
        <w:autoSpaceDE w:val="0"/>
        <w:autoSpaceDN w:val="0"/>
        <w:adjustRightInd w:val="0"/>
        <w:spacing w:after="0" w:line="240" w:lineRule="auto"/>
        <w:rPr>
          <w:rFonts w:ascii="Times New Roman" w:hAnsi="Times New Roman" w:cs="Times New Roman"/>
          <w:color w:val="000000"/>
          <w:sz w:val="20"/>
          <w:szCs w:val="20"/>
        </w:rPr>
      </w:pPr>
      <w:r w:rsidRPr="00DE22D0">
        <w:rPr>
          <w:rFonts w:ascii="Times New Roman" w:hAnsi="Times New Roman" w:cs="Times New Roman"/>
          <w:color w:val="000000"/>
          <w:sz w:val="20"/>
          <w:szCs w:val="20"/>
          <w:vertAlign w:val="superscript"/>
        </w:rPr>
        <w:t>*</w:t>
      </w:r>
      <w:r w:rsidR="00C023B7" w:rsidRPr="00DE22D0">
        <w:rPr>
          <w:rFonts w:ascii="Times New Roman" w:hAnsi="Times New Roman" w:cs="Times New Roman"/>
          <w:color w:val="000000"/>
          <w:sz w:val="20"/>
          <w:szCs w:val="20"/>
          <w:vertAlign w:val="superscript"/>
        </w:rPr>
        <w:t>1,5&amp;6</w:t>
      </w:r>
      <w:r w:rsidR="00C023B7" w:rsidRPr="00DE22D0">
        <w:rPr>
          <w:rFonts w:ascii="Times New Roman" w:hAnsi="Times New Roman" w:cs="Times New Roman"/>
          <w:color w:val="000000"/>
          <w:sz w:val="20"/>
          <w:szCs w:val="20"/>
        </w:rPr>
        <w:t>Department of Geriatrics and Gerontology, Faculty of Medicine - Ain Shams University, Egypt</w:t>
      </w:r>
    </w:p>
    <w:p w:rsidR="00C023B7" w:rsidRPr="00DE22D0" w:rsidRDefault="00C023B7" w:rsidP="00DE22D0">
      <w:pPr>
        <w:autoSpaceDE w:val="0"/>
        <w:autoSpaceDN w:val="0"/>
        <w:adjustRightInd w:val="0"/>
        <w:spacing w:after="0" w:line="240" w:lineRule="auto"/>
        <w:rPr>
          <w:rFonts w:ascii="Times New Roman" w:hAnsi="Times New Roman" w:cs="Times New Roman"/>
          <w:color w:val="000000"/>
          <w:sz w:val="20"/>
          <w:szCs w:val="20"/>
        </w:rPr>
      </w:pPr>
      <w:r w:rsidRPr="00DE22D0">
        <w:rPr>
          <w:rFonts w:ascii="Times New Roman" w:hAnsi="Times New Roman" w:cs="Times New Roman"/>
          <w:color w:val="000000"/>
          <w:sz w:val="20"/>
          <w:szCs w:val="20"/>
          <w:vertAlign w:val="superscript"/>
        </w:rPr>
        <w:t>2</w:t>
      </w:r>
      <w:r w:rsidRPr="00DE22D0">
        <w:rPr>
          <w:rFonts w:ascii="Times New Roman" w:hAnsi="Times New Roman" w:cs="Times New Roman"/>
          <w:color w:val="000000"/>
          <w:sz w:val="20"/>
          <w:szCs w:val="20"/>
        </w:rPr>
        <w:t>Department of Clinical Pathology, Faculty of Medicine - Ain Shams University, Egypt</w:t>
      </w:r>
    </w:p>
    <w:p w:rsidR="00C023B7" w:rsidRPr="00DE22D0" w:rsidRDefault="00C023B7" w:rsidP="00DE22D0">
      <w:pPr>
        <w:autoSpaceDE w:val="0"/>
        <w:autoSpaceDN w:val="0"/>
        <w:adjustRightInd w:val="0"/>
        <w:spacing w:after="0" w:line="240" w:lineRule="auto"/>
        <w:rPr>
          <w:rFonts w:ascii="Times New Roman" w:hAnsi="Times New Roman" w:cs="Times New Roman"/>
          <w:color w:val="000000"/>
          <w:sz w:val="20"/>
          <w:szCs w:val="20"/>
        </w:rPr>
      </w:pPr>
      <w:r w:rsidRPr="00DE22D0">
        <w:rPr>
          <w:rFonts w:ascii="Times New Roman" w:hAnsi="Times New Roman" w:cs="Times New Roman"/>
          <w:color w:val="000000"/>
          <w:sz w:val="20"/>
          <w:szCs w:val="20"/>
          <w:vertAlign w:val="superscript"/>
        </w:rPr>
        <w:t>3</w:t>
      </w:r>
      <w:r w:rsidRPr="00DE22D0">
        <w:rPr>
          <w:rFonts w:ascii="Times New Roman" w:hAnsi="Times New Roman" w:cs="Times New Roman"/>
          <w:color w:val="000000"/>
          <w:sz w:val="20"/>
          <w:szCs w:val="20"/>
        </w:rPr>
        <w:t>Department of Radio-diagnosis, Faculty of Medicine - Ain Shams University, Egypt</w:t>
      </w:r>
    </w:p>
    <w:p w:rsidR="00554B62" w:rsidRPr="00DE22D0" w:rsidRDefault="00C023B7" w:rsidP="00DE22D0">
      <w:pPr>
        <w:autoSpaceDE w:val="0"/>
        <w:autoSpaceDN w:val="0"/>
        <w:adjustRightInd w:val="0"/>
        <w:spacing w:after="0" w:line="240" w:lineRule="auto"/>
        <w:rPr>
          <w:rFonts w:ascii="Times New Roman" w:hAnsi="Times New Roman" w:cs="Times New Roman"/>
          <w:color w:val="000000"/>
          <w:sz w:val="20"/>
          <w:szCs w:val="20"/>
        </w:rPr>
      </w:pPr>
      <w:r w:rsidRPr="00DE22D0">
        <w:rPr>
          <w:rFonts w:ascii="Times New Roman" w:hAnsi="Times New Roman" w:cs="Times New Roman"/>
          <w:color w:val="000000"/>
          <w:sz w:val="20"/>
          <w:szCs w:val="20"/>
          <w:vertAlign w:val="superscript"/>
        </w:rPr>
        <w:t>4</w:t>
      </w:r>
      <w:r w:rsidRPr="00DE22D0">
        <w:rPr>
          <w:rFonts w:ascii="Times New Roman" w:hAnsi="Times New Roman" w:cs="Times New Roman"/>
          <w:color w:val="000000"/>
          <w:sz w:val="20"/>
          <w:szCs w:val="20"/>
        </w:rPr>
        <w:t>Department of Cardiology, Faculty of Medicine - Ain Shams University, Egypt</w:t>
      </w:r>
      <w:r w:rsidRPr="00DE22D0">
        <w:rPr>
          <w:rFonts w:ascii="Times New Roman" w:hAnsi="Times New Roman" w:cs="Times New Roman"/>
          <w:color w:val="000000"/>
          <w:sz w:val="20"/>
          <w:szCs w:val="20"/>
        </w:rPr>
        <w:tab/>
      </w:r>
    </w:p>
    <w:p w:rsidR="003F32D3" w:rsidRPr="00DE22D0" w:rsidRDefault="003F32D3" w:rsidP="00DE22D0">
      <w:pPr>
        <w:spacing w:after="0" w:line="240" w:lineRule="auto"/>
        <w:rPr>
          <w:rFonts w:ascii="Times New Roman" w:hAnsi="Times New Roman" w:cs="Times New Roman"/>
          <w:color w:val="000000"/>
          <w:sz w:val="20"/>
          <w:szCs w:val="20"/>
        </w:rPr>
      </w:pPr>
    </w:p>
    <w:tbl>
      <w:tblPr>
        <w:tblW w:w="5000" w:type="pct"/>
        <w:tblLook w:val="04A0" w:firstRow="1" w:lastRow="0" w:firstColumn="1" w:lastColumn="0" w:noHBand="0" w:noVBand="1"/>
      </w:tblPr>
      <w:tblGrid>
        <w:gridCol w:w="2461"/>
        <w:gridCol w:w="7115"/>
      </w:tblGrid>
      <w:tr w:rsidR="003F32D3" w:rsidRPr="00DE22D0" w:rsidTr="00FB3F95">
        <w:trPr>
          <w:trHeight w:val="285"/>
        </w:trPr>
        <w:tc>
          <w:tcPr>
            <w:tcW w:w="1285" w:type="pct"/>
            <w:shd w:val="clear" w:color="auto" w:fill="auto"/>
            <w:vAlign w:val="center"/>
            <w:hideMark/>
          </w:tcPr>
          <w:p w:rsidR="003F32D3" w:rsidRPr="00DE22D0" w:rsidRDefault="003F32D3" w:rsidP="00DE22D0">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DE22D0" w:rsidRDefault="003F32D3" w:rsidP="00DE22D0">
            <w:pPr>
              <w:spacing w:after="0" w:line="240" w:lineRule="auto"/>
              <w:rPr>
                <w:rFonts w:ascii="Times New Roman" w:eastAsia="Times New Roman" w:hAnsi="Times New Roman" w:cs="Times New Roman"/>
                <w:b/>
                <w:bCs/>
                <w:i/>
                <w:iCs/>
                <w:color w:val="000000"/>
                <w:lang w:bidi="fa-IR"/>
              </w:rPr>
            </w:pPr>
          </w:p>
        </w:tc>
      </w:tr>
      <w:tr w:rsidR="003F32D3" w:rsidRPr="00DE22D0" w:rsidTr="00FB3F95">
        <w:trPr>
          <w:trHeight w:val="285"/>
        </w:trPr>
        <w:tc>
          <w:tcPr>
            <w:tcW w:w="1285" w:type="pct"/>
            <w:shd w:val="clear" w:color="auto" w:fill="auto"/>
            <w:vAlign w:val="center"/>
            <w:hideMark/>
          </w:tcPr>
          <w:p w:rsidR="003F32D3" w:rsidRPr="00DE22D0" w:rsidRDefault="003F32D3" w:rsidP="00DE22D0">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DE22D0" w:rsidRDefault="003F32D3" w:rsidP="00DE22D0">
            <w:pPr>
              <w:spacing w:after="0" w:line="240" w:lineRule="auto"/>
              <w:rPr>
                <w:rFonts w:ascii="Times New Roman" w:eastAsia="Times New Roman" w:hAnsi="Times New Roman" w:cs="Times New Roman"/>
                <w:b/>
                <w:bCs/>
                <w:iCs/>
                <w:color w:val="000000"/>
                <w:sz w:val="24"/>
                <w:szCs w:val="24"/>
                <w:lang w:bidi="fa-IR"/>
              </w:rPr>
            </w:pPr>
            <w:r w:rsidRPr="00DE22D0">
              <w:rPr>
                <w:rFonts w:ascii="Times New Roman" w:eastAsia="Times New Roman" w:hAnsi="Times New Roman" w:cs="Times New Roman"/>
                <w:b/>
                <w:bCs/>
                <w:iCs/>
                <w:color w:val="000000"/>
                <w:sz w:val="24"/>
                <w:szCs w:val="24"/>
                <w:lang w:bidi="fa-IR"/>
              </w:rPr>
              <w:t> </w:t>
            </w:r>
            <w:r w:rsidR="00BC5D0F" w:rsidRPr="00DE22D0">
              <w:rPr>
                <w:rFonts w:ascii="Times New Roman" w:eastAsia="Times New Roman" w:hAnsi="Times New Roman" w:cs="Times New Roman"/>
                <w:b/>
                <w:bCs/>
                <w:i/>
                <w:iCs/>
                <w:color w:val="000000"/>
                <w:sz w:val="24"/>
                <w:szCs w:val="24"/>
                <w:lang w:bidi="fa-IR"/>
              </w:rPr>
              <w:t>Abstract</w:t>
            </w:r>
          </w:p>
        </w:tc>
      </w:tr>
      <w:tr w:rsidR="003F32D3" w:rsidRPr="00DE22D0" w:rsidTr="00FB3F95">
        <w:trPr>
          <w:trHeight w:val="1196"/>
        </w:trPr>
        <w:tc>
          <w:tcPr>
            <w:tcW w:w="1285" w:type="pct"/>
            <w:shd w:val="clear" w:color="auto" w:fill="auto"/>
            <w:hideMark/>
          </w:tcPr>
          <w:p w:rsidR="003F32D3" w:rsidRPr="00DE22D0" w:rsidRDefault="003F32D3" w:rsidP="00DE22D0">
            <w:pPr>
              <w:spacing w:after="0" w:line="240" w:lineRule="auto"/>
              <w:rPr>
                <w:rFonts w:ascii="Times New Roman" w:eastAsia="Times New Roman" w:hAnsi="Times New Roman" w:cs="Times New Roman"/>
                <w:b/>
                <w:bCs/>
                <w:i/>
                <w:iCs/>
                <w:color w:val="000000"/>
                <w:sz w:val="20"/>
                <w:szCs w:val="20"/>
                <w:lang w:bidi="fa-IR"/>
              </w:rPr>
            </w:pPr>
          </w:p>
          <w:p w:rsidR="00C023B7" w:rsidRPr="00DE22D0" w:rsidRDefault="003F32D3" w:rsidP="00DE22D0">
            <w:pPr>
              <w:spacing w:after="0" w:line="240" w:lineRule="auto"/>
              <w:jc w:val="both"/>
              <w:rPr>
                <w:rFonts w:ascii="Times New Roman" w:hAnsi="Times New Roman" w:cs="Times New Roman"/>
                <w:i/>
                <w:iCs/>
                <w:sz w:val="20"/>
                <w:szCs w:val="20"/>
              </w:rPr>
            </w:pPr>
            <w:r w:rsidRPr="00DE22D0">
              <w:rPr>
                <w:rFonts w:ascii="Times New Roman" w:eastAsia="Times New Roman" w:hAnsi="Times New Roman" w:cs="Times New Roman"/>
                <w:b/>
                <w:bCs/>
                <w:i/>
                <w:iCs/>
                <w:color w:val="000000"/>
                <w:sz w:val="20"/>
                <w:szCs w:val="20"/>
                <w:lang w:bidi="fa-IR"/>
              </w:rPr>
              <w:t>Keywords:</w:t>
            </w:r>
            <w:r w:rsidRPr="00DE22D0">
              <w:rPr>
                <w:rFonts w:ascii="Times New Roman" w:eastAsia="Times New Roman" w:hAnsi="Times New Roman" w:cs="Times New Roman"/>
                <w:b/>
                <w:bCs/>
                <w:i/>
                <w:iCs/>
                <w:color w:val="000000"/>
                <w:sz w:val="20"/>
                <w:szCs w:val="20"/>
                <w:lang w:bidi="fa-IR"/>
              </w:rPr>
              <w:br/>
            </w:r>
            <w:r w:rsidR="00C023B7" w:rsidRPr="00DE22D0">
              <w:rPr>
                <w:rFonts w:ascii="Times New Roman" w:hAnsi="Times New Roman" w:cs="Times New Roman"/>
                <w:i/>
                <w:iCs/>
                <w:sz w:val="20"/>
                <w:szCs w:val="20"/>
              </w:rPr>
              <w:t>Frailty, Atherosclerosis, Ankle Brachial Index, Carotid Intima media thickness, Abdominal Aortic diameter.</w:t>
            </w:r>
          </w:p>
          <w:p w:rsidR="003F32D3" w:rsidRPr="00DE22D0" w:rsidRDefault="003F32D3" w:rsidP="00DE22D0">
            <w:pPr>
              <w:spacing w:after="0" w:line="240" w:lineRule="auto"/>
              <w:rPr>
                <w:rFonts w:ascii="Times New Roman" w:eastAsia="Times New Roman" w:hAnsi="Times New Roman" w:cs="Times New Roman"/>
                <w:b/>
                <w:bCs/>
                <w:i/>
                <w:iCs/>
                <w:color w:val="000000"/>
                <w:sz w:val="20"/>
                <w:szCs w:val="20"/>
                <w:lang w:bidi="fa-IR"/>
              </w:rPr>
            </w:pPr>
          </w:p>
        </w:tc>
        <w:tc>
          <w:tcPr>
            <w:tcW w:w="3715" w:type="pct"/>
            <w:shd w:val="clear" w:color="auto" w:fill="auto"/>
            <w:vAlign w:val="center"/>
            <w:hideMark/>
          </w:tcPr>
          <w:p w:rsidR="00C023B7" w:rsidRPr="00DE22D0" w:rsidRDefault="00C023B7" w:rsidP="00DE22D0">
            <w:pPr>
              <w:spacing w:after="0" w:line="240" w:lineRule="auto"/>
              <w:jc w:val="both"/>
              <w:rPr>
                <w:rFonts w:ascii="Times New Roman" w:eastAsia="Times New Roman" w:hAnsi="Times New Roman" w:cs="Times New Roman"/>
                <w:color w:val="000000"/>
                <w:sz w:val="20"/>
                <w:szCs w:val="20"/>
                <w:lang w:val="en-GB"/>
              </w:rPr>
            </w:pPr>
            <w:r w:rsidRPr="00DE22D0">
              <w:rPr>
                <w:rFonts w:ascii="Times New Roman" w:eastAsia="Times New Roman" w:hAnsi="Times New Roman" w:cs="Times New Roman"/>
                <w:b/>
                <w:color w:val="000000"/>
                <w:sz w:val="20"/>
                <w:szCs w:val="20"/>
                <w:lang w:val="en-GB"/>
              </w:rPr>
              <w:t>Background:</w:t>
            </w:r>
            <w:r w:rsidRPr="00DE22D0">
              <w:rPr>
                <w:rFonts w:ascii="Times New Roman" w:eastAsia="Times New Roman" w:hAnsi="Times New Roman" w:cs="Times New Roman"/>
                <w:color w:val="000000"/>
                <w:sz w:val="20"/>
                <w:szCs w:val="20"/>
                <w:lang w:val="en-GB"/>
              </w:rPr>
              <w:t xml:space="preserve"> Frailty as well as atherosclerotic diseases are commonly prevalent among elderly subjects and usually share both complex pathway and risk factors. Hence it was important to study if there is an association between frailty and risk factors of atherosclerosisat its early stages (subclinical atherosclerosis) using the Ankle Brachial Index (ABI), carotid intima media thickness (CIMT) and Abdominal Aortic Diameter (AAD) as markers of subclinical atherosclerosis.</w:t>
            </w:r>
          </w:p>
          <w:p w:rsidR="00C023B7" w:rsidRPr="00DE22D0" w:rsidRDefault="00C023B7" w:rsidP="00DE22D0">
            <w:pPr>
              <w:spacing w:after="0" w:line="240" w:lineRule="auto"/>
              <w:jc w:val="both"/>
              <w:rPr>
                <w:rFonts w:ascii="Times New Roman" w:eastAsia="Times New Roman" w:hAnsi="Times New Roman" w:cs="Times New Roman"/>
                <w:color w:val="000000"/>
                <w:sz w:val="20"/>
                <w:szCs w:val="20"/>
                <w:lang w:val="en-GB"/>
              </w:rPr>
            </w:pPr>
            <w:r w:rsidRPr="00DE22D0">
              <w:rPr>
                <w:rFonts w:ascii="Times New Roman" w:eastAsia="Times New Roman" w:hAnsi="Times New Roman" w:cs="Times New Roman"/>
                <w:b/>
                <w:color w:val="000000"/>
                <w:sz w:val="20"/>
                <w:szCs w:val="20"/>
                <w:lang w:val="en-GB"/>
              </w:rPr>
              <w:t>Material and Methods:</w:t>
            </w:r>
            <w:r w:rsidRPr="00DE22D0">
              <w:rPr>
                <w:rFonts w:ascii="Times New Roman" w:eastAsia="Times New Roman" w:hAnsi="Times New Roman" w:cs="Times New Roman"/>
                <w:color w:val="000000"/>
                <w:sz w:val="20"/>
                <w:szCs w:val="20"/>
                <w:lang w:val="en-GB"/>
              </w:rPr>
              <w:t xml:space="preserve"> A cross-sectional study conducted on 90 elderly participants (60-year-old and above), free of cardiovascular symptoms. They were dividedaccording to modified Fried criteria into: non-frail, pre-frail and frail groupsand they were subjected to comprehensive geriatric assessment, calculation of ABI, and radiological investigations including:  carotid duplex to measure CIMT and abdominal ultrasound to measure AAD.</w:t>
            </w:r>
          </w:p>
          <w:p w:rsidR="00C023B7" w:rsidRPr="00DE22D0" w:rsidRDefault="00C023B7" w:rsidP="00DE22D0">
            <w:pPr>
              <w:spacing w:after="0" w:line="240" w:lineRule="auto"/>
              <w:jc w:val="both"/>
              <w:rPr>
                <w:rFonts w:ascii="Times New Roman" w:eastAsia="Times New Roman" w:hAnsi="Times New Roman" w:cs="Times New Roman"/>
                <w:color w:val="000000"/>
                <w:sz w:val="20"/>
                <w:szCs w:val="20"/>
                <w:lang w:val="en-GB"/>
              </w:rPr>
            </w:pPr>
            <w:r w:rsidRPr="00DE22D0">
              <w:rPr>
                <w:rFonts w:ascii="Times New Roman" w:eastAsia="Times New Roman" w:hAnsi="Times New Roman" w:cs="Times New Roman"/>
                <w:b/>
                <w:color w:val="000000"/>
                <w:sz w:val="20"/>
                <w:szCs w:val="20"/>
                <w:lang w:val="en-GB"/>
              </w:rPr>
              <w:t>Results:</w:t>
            </w:r>
            <w:r w:rsidRPr="00DE22D0">
              <w:rPr>
                <w:rFonts w:ascii="Times New Roman" w:eastAsia="Times New Roman" w:hAnsi="Times New Roman" w:cs="Times New Roman"/>
                <w:color w:val="000000"/>
                <w:sz w:val="20"/>
                <w:szCs w:val="20"/>
                <w:lang w:val="en-GB"/>
              </w:rPr>
              <w:t xml:space="preserve"> The study showed that frail participants had lower mean ABI value than non-frail group. Frail and pre-frail participants had higher maximum CIMT values than non-frail group. The mean AAD increased from 19.88 mm in the non-frail to 20.40 mm in the pre-frail group and 21.17 mm in the frail group, but this difference still not reaching a statistical significance.</w:t>
            </w:r>
          </w:p>
          <w:p w:rsidR="003F32D3" w:rsidRPr="00DE22D0" w:rsidRDefault="00C023B7" w:rsidP="00DE22D0">
            <w:pPr>
              <w:spacing w:after="0" w:line="240" w:lineRule="auto"/>
              <w:jc w:val="both"/>
              <w:rPr>
                <w:rFonts w:ascii="Times New Roman" w:eastAsia="Times New Roman" w:hAnsi="Times New Roman" w:cs="Times New Roman"/>
                <w:color w:val="000000"/>
                <w:sz w:val="20"/>
                <w:szCs w:val="20"/>
                <w:lang w:bidi="fa-IR"/>
              </w:rPr>
            </w:pPr>
            <w:r w:rsidRPr="00DE22D0">
              <w:rPr>
                <w:rFonts w:ascii="Times New Roman" w:eastAsia="Times New Roman" w:hAnsi="Times New Roman" w:cs="Times New Roman"/>
                <w:b/>
                <w:color w:val="000000"/>
                <w:sz w:val="20"/>
                <w:szCs w:val="20"/>
                <w:lang w:val="en-GB"/>
              </w:rPr>
              <w:t>Conclusion:</w:t>
            </w:r>
            <w:r w:rsidRPr="00DE22D0">
              <w:rPr>
                <w:rFonts w:ascii="Times New Roman" w:eastAsia="Times New Roman" w:hAnsi="Times New Roman" w:cs="Times New Roman"/>
                <w:color w:val="000000"/>
                <w:sz w:val="20"/>
                <w:szCs w:val="20"/>
                <w:lang w:val="en-GB"/>
              </w:rPr>
              <w:t xml:space="preserve"> The study concluded that frailty is associated with subclinical atherosclerosis.</w:t>
            </w:r>
          </w:p>
        </w:tc>
      </w:tr>
      <w:tr w:rsidR="003F32D3" w:rsidRPr="00DE22D0" w:rsidTr="00FB3F95">
        <w:trPr>
          <w:trHeight w:val="285"/>
        </w:trPr>
        <w:tc>
          <w:tcPr>
            <w:tcW w:w="1285" w:type="pct"/>
            <w:shd w:val="clear" w:color="auto" w:fill="auto"/>
            <w:vAlign w:val="center"/>
          </w:tcPr>
          <w:p w:rsidR="003F32D3" w:rsidRPr="00DE22D0" w:rsidRDefault="003F32D3" w:rsidP="00DE22D0">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DE22D0" w:rsidRDefault="003F32D3" w:rsidP="00DE22D0">
            <w:pPr>
              <w:spacing w:after="0" w:line="240" w:lineRule="auto"/>
              <w:rPr>
                <w:rFonts w:ascii="Times New Roman" w:eastAsia="Times New Roman" w:hAnsi="Times New Roman" w:cs="Times New Roman"/>
                <w:color w:val="000000"/>
                <w:sz w:val="18"/>
                <w:szCs w:val="18"/>
                <w:lang w:bidi="fa-IR"/>
              </w:rPr>
            </w:pPr>
          </w:p>
        </w:tc>
      </w:tr>
    </w:tbl>
    <w:p w:rsidR="00FB3F95" w:rsidRPr="00DE22D0" w:rsidRDefault="00FB3F95" w:rsidP="00DE22D0">
      <w:pPr>
        <w:spacing w:after="0" w:line="240" w:lineRule="auto"/>
        <w:rPr>
          <w:rFonts w:ascii="Times New Roman" w:hAnsi="Times New Roman" w:cs="Times New Roman"/>
          <w:color w:val="000000" w:themeColor="text1"/>
          <w:sz w:val="20"/>
          <w:szCs w:val="20"/>
        </w:rPr>
      </w:pPr>
    </w:p>
    <w:p w:rsidR="00FB3F95" w:rsidRPr="00DE22D0" w:rsidRDefault="00FB3F95" w:rsidP="00DE22D0">
      <w:pPr>
        <w:spacing w:after="0" w:line="240" w:lineRule="auto"/>
        <w:rPr>
          <w:rFonts w:ascii="Times New Roman" w:hAnsi="Times New Roman" w:cs="Times New Roman"/>
          <w:b/>
          <w:color w:val="000000" w:themeColor="text1"/>
          <w:sz w:val="24"/>
          <w:szCs w:val="24"/>
        </w:rPr>
      </w:pPr>
      <w:r w:rsidRPr="00DE22D0">
        <w:rPr>
          <w:rFonts w:ascii="Times New Roman" w:hAnsi="Times New Roman" w:cs="Times New Roman"/>
          <w:b/>
          <w:color w:val="000000" w:themeColor="text1"/>
          <w:sz w:val="24"/>
          <w:szCs w:val="24"/>
        </w:rPr>
        <w:t>Introduction</w:t>
      </w:r>
      <w:r w:rsidR="00C023B7" w:rsidRPr="00DE22D0">
        <w:rPr>
          <w:rFonts w:ascii="Times New Roman" w:hAnsi="Times New Roman" w:cs="Times New Roman"/>
          <w:b/>
          <w:color w:val="000000" w:themeColor="text1"/>
          <w:sz w:val="24"/>
          <w:szCs w:val="24"/>
        </w:rPr>
        <w:t xml:space="preserve"> </w:t>
      </w:r>
    </w:p>
    <w:p w:rsidR="00C023B7" w:rsidRPr="00DE22D0" w:rsidRDefault="00C023B7" w:rsidP="00DE22D0">
      <w:pPr>
        <w:spacing w:after="0" w:line="240" w:lineRule="auto"/>
        <w:jc w:val="both"/>
        <w:rPr>
          <w:rFonts w:ascii="Times New Roman" w:eastAsia="Times New Roman" w:hAnsi="Times New Roman" w:cs="Times New Roman"/>
          <w:b/>
          <w:bCs/>
          <w:i/>
          <w:iCs/>
          <w:spacing w:val="-2"/>
          <w:kern w:val="28"/>
          <w:sz w:val="20"/>
          <w:szCs w:val="20"/>
          <w:lang w:bidi="hi-IN"/>
        </w:rPr>
      </w:pPr>
      <w:r w:rsidRPr="00DE22D0">
        <w:rPr>
          <w:rFonts w:ascii="Times New Roman" w:eastAsia="Times New Roman" w:hAnsi="Times New Roman" w:cs="Times New Roman"/>
          <w:kern w:val="28"/>
          <w:sz w:val="20"/>
          <w:szCs w:val="20"/>
          <w:lang w:bidi="hi-IN"/>
        </w:rPr>
        <w:t>Frailty remains an evolving concept lacking both a unique definition and diagnostic criteria to be used in clinical practice and epidemiological researches</w:t>
      </w:r>
      <w:r w:rsidRPr="00DE22D0">
        <w:rPr>
          <w:rFonts w:ascii="Times New Roman" w:eastAsia="Times New Roman" w:hAnsi="Times New Roman" w:cs="Times New Roman"/>
          <w:b/>
          <w:bCs/>
          <w:kern w:val="28"/>
          <w:sz w:val="20"/>
          <w:szCs w:val="20"/>
          <w:vertAlign w:val="superscript"/>
          <w:lang w:bidi="hi-IN"/>
        </w:rPr>
        <w:t>(1)</w:t>
      </w:r>
      <w:r w:rsidRPr="00DE22D0">
        <w:rPr>
          <w:rFonts w:ascii="Times New Roman" w:eastAsia="Times New Roman" w:hAnsi="Times New Roman" w:cs="Times New Roman"/>
          <w:bCs/>
          <w:i/>
          <w:iCs/>
          <w:kern w:val="28"/>
          <w:sz w:val="20"/>
          <w:szCs w:val="20"/>
          <w:lang w:bidi="hi-IN"/>
        </w:rPr>
        <w:t>.</w:t>
      </w:r>
      <w:r w:rsidRPr="00DE22D0">
        <w:rPr>
          <w:rFonts w:ascii="Times New Roman" w:eastAsia="Times New Roman" w:hAnsi="Times New Roman" w:cs="Times New Roman"/>
          <w:kern w:val="28"/>
          <w:sz w:val="20"/>
          <w:szCs w:val="20"/>
          <w:lang w:bidi="hi-IN"/>
        </w:rPr>
        <w:t>But the most acceptable definition is postulated by Fried et al. defined frailty as: “A physiologic syndrome characterized by decreased reserve and resistance to stressors, resulting from cumulative decline acrossmultiple physiologic systems, and causing vulnerability to adverse outcomes”</w:t>
      </w:r>
      <w:r w:rsidRPr="00DE22D0">
        <w:rPr>
          <w:rFonts w:ascii="Times New Roman" w:eastAsia="Calibri" w:hAnsi="Times New Roman" w:cs="Times New Roman"/>
          <w:b/>
          <w:bCs/>
          <w:kern w:val="28"/>
          <w:sz w:val="20"/>
          <w:szCs w:val="20"/>
          <w:vertAlign w:val="superscript"/>
          <w:lang w:val="en-GB"/>
        </w:rPr>
        <w:t>(2)</w:t>
      </w:r>
      <w:r w:rsidRPr="00DE22D0">
        <w:rPr>
          <w:rFonts w:ascii="Times New Roman" w:eastAsia="Times New Roman" w:hAnsi="Times New Roman" w:cs="Times New Roman"/>
          <w:kern w:val="28"/>
          <w:sz w:val="20"/>
          <w:szCs w:val="20"/>
          <w:lang w:val="en-GB" w:bidi="hi-IN"/>
        </w:rPr>
        <w:t>.</w:t>
      </w:r>
      <w:r w:rsidRPr="00DE22D0">
        <w:rPr>
          <w:rFonts w:ascii="Times New Roman" w:eastAsia="Calibri" w:hAnsi="Times New Roman" w:cs="Times New Roman"/>
          <w:bCs/>
          <w:kern w:val="28"/>
          <w:sz w:val="20"/>
          <w:szCs w:val="20"/>
          <w:lang w:val="en-GB"/>
        </w:rPr>
        <w:t>The criteria established for frailty</w:t>
      </w:r>
      <w:r w:rsidRPr="00DE22D0">
        <w:rPr>
          <w:rFonts w:ascii="Times New Roman" w:eastAsia="Calibri" w:hAnsi="Times New Roman" w:cs="Times New Roman"/>
          <w:kern w:val="28"/>
          <w:sz w:val="20"/>
          <w:szCs w:val="20"/>
          <w:lang w:val="en-GB"/>
        </w:rPr>
        <w:t>include: reduced muscle strength, unintentional weight loss, fatigue, low physical activity, and slow walking</w:t>
      </w:r>
      <w:r w:rsidRPr="00DE22D0">
        <w:rPr>
          <w:rFonts w:ascii="Times New Roman" w:eastAsia="Calibri" w:hAnsi="Times New Roman" w:cs="Times New Roman"/>
          <w:b/>
          <w:bCs/>
          <w:kern w:val="28"/>
          <w:sz w:val="20"/>
          <w:szCs w:val="20"/>
          <w:vertAlign w:val="superscript"/>
          <w:lang w:val="en-GB"/>
        </w:rPr>
        <w:t>(3)</w:t>
      </w:r>
      <w:r w:rsidRPr="00DE22D0">
        <w:rPr>
          <w:rFonts w:ascii="Times New Roman" w:eastAsia="Calibri" w:hAnsi="Times New Roman" w:cs="Times New Roman"/>
          <w:bCs/>
          <w:i/>
          <w:iCs/>
          <w:kern w:val="28"/>
          <w:sz w:val="20"/>
          <w:szCs w:val="20"/>
          <w:lang w:val="en-GB"/>
        </w:rPr>
        <w:t>.</w:t>
      </w:r>
      <w:r w:rsidRPr="00DE22D0">
        <w:rPr>
          <w:rFonts w:ascii="Times New Roman" w:eastAsia="Times New Roman" w:hAnsi="Times New Roman" w:cs="Times New Roman"/>
          <w:spacing w:val="-2"/>
          <w:kern w:val="28"/>
          <w:sz w:val="20"/>
          <w:szCs w:val="20"/>
          <w:lang w:bidi="hi-IN"/>
        </w:rPr>
        <w:t>Fried’s concept of frailty postulates that frailty is initiated by the accumulation of factors such as lack of physical exercise, inadequate nutrition, injuries, disease, and drugs</w:t>
      </w:r>
      <w:r w:rsidRPr="00DE22D0">
        <w:rPr>
          <w:rFonts w:ascii="Times New Roman" w:eastAsia="Times New Roman" w:hAnsi="Times New Roman" w:cs="Times New Roman"/>
          <w:b/>
          <w:bCs/>
          <w:spacing w:val="-2"/>
          <w:kern w:val="28"/>
          <w:sz w:val="20"/>
          <w:szCs w:val="20"/>
          <w:vertAlign w:val="superscript"/>
          <w:lang w:bidi="hi-IN"/>
        </w:rPr>
        <w:t>(3)</w:t>
      </w:r>
      <w:r w:rsidRPr="00DE22D0">
        <w:rPr>
          <w:rFonts w:ascii="Times New Roman" w:eastAsia="Times New Roman" w:hAnsi="Times New Roman" w:cs="Times New Roman"/>
          <w:b/>
          <w:bCs/>
          <w:i/>
          <w:iCs/>
          <w:spacing w:val="-2"/>
          <w:kern w:val="28"/>
          <w:sz w:val="20"/>
          <w:szCs w:val="20"/>
          <w:lang w:bidi="hi-IN"/>
        </w:rPr>
        <w:t>.</w:t>
      </w:r>
    </w:p>
    <w:p w:rsidR="00C023B7" w:rsidRPr="00DE22D0" w:rsidRDefault="00C023B7" w:rsidP="00DE22D0">
      <w:pPr>
        <w:spacing w:after="0" w:line="240" w:lineRule="auto"/>
        <w:jc w:val="both"/>
        <w:rPr>
          <w:rFonts w:ascii="Times New Roman" w:eastAsia="Times New Roman" w:hAnsi="Times New Roman" w:cs="Times New Roman"/>
          <w:kern w:val="28"/>
          <w:sz w:val="20"/>
          <w:szCs w:val="20"/>
          <w:lang w:val="en-GB" w:bidi="hi-IN"/>
        </w:rPr>
      </w:pPr>
    </w:p>
    <w:p w:rsidR="00C023B7" w:rsidRPr="00DE22D0" w:rsidRDefault="00C023B7" w:rsidP="00DE22D0">
      <w:pPr>
        <w:spacing w:after="0" w:line="240" w:lineRule="auto"/>
        <w:jc w:val="both"/>
        <w:rPr>
          <w:rFonts w:ascii="Times New Roman" w:eastAsia="Times New Roman" w:hAnsi="Times New Roman" w:cs="Times New Roman"/>
          <w:bCs/>
          <w:i/>
          <w:iCs/>
          <w:kern w:val="28"/>
          <w:sz w:val="20"/>
          <w:szCs w:val="20"/>
          <w:lang w:val="en-GB"/>
        </w:rPr>
      </w:pPr>
      <w:r w:rsidRPr="00DE22D0">
        <w:rPr>
          <w:rFonts w:ascii="Times New Roman" w:eastAsia="Times New Roman" w:hAnsi="Times New Roman" w:cs="Times New Roman"/>
          <w:kern w:val="28"/>
          <w:sz w:val="20"/>
          <w:szCs w:val="20"/>
          <w:lang w:val="en-GB"/>
        </w:rPr>
        <w:t>From a clinical perspective, frailty is crucial because it constitutes a condition of greater risk of adverse health outcomes, such as falls, hospitalization, disability and death</w:t>
      </w:r>
      <w:r w:rsidRPr="00DE22D0">
        <w:rPr>
          <w:rFonts w:ascii="Times New Roman" w:eastAsia="Calibri" w:hAnsi="Times New Roman" w:cs="Times New Roman"/>
          <w:b/>
          <w:bCs/>
          <w:kern w:val="28"/>
          <w:sz w:val="20"/>
          <w:szCs w:val="20"/>
          <w:vertAlign w:val="superscript"/>
          <w:lang w:val="en-GB"/>
        </w:rPr>
        <w:t>(3,4)</w:t>
      </w:r>
      <w:r w:rsidRPr="00DE22D0">
        <w:rPr>
          <w:rFonts w:ascii="Times New Roman" w:eastAsia="Calibri" w:hAnsi="Times New Roman" w:cs="Times New Roman"/>
          <w:bCs/>
          <w:i/>
          <w:iCs/>
          <w:kern w:val="28"/>
          <w:sz w:val="20"/>
          <w:szCs w:val="20"/>
          <w:lang w:val="en-GB"/>
        </w:rPr>
        <w:t>.</w:t>
      </w:r>
      <w:r w:rsidRPr="00DE22D0">
        <w:rPr>
          <w:rFonts w:ascii="Times New Roman" w:eastAsia="Times New Roman" w:hAnsi="Times New Roman" w:cs="Times New Roman"/>
          <w:kern w:val="28"/>
          <w:sz w:val="20"/>
          <w:szCs w:val="20"/>
          <w:lang w:val="en-GB"/>
        </w:rPr>
        <w:t xml:space="preserve"> Frailty is important from a societal perspective because it identifies groups of people in need of extra medical attention and at risk of high dependency. Frailty is also on concern when considering financial healthcare planning to better select management and prevention programs</w:t>
      </w:r>
      <w:r w:rsidRPr="00DE22D0">
        <w:rPr>
          <w:rFonts w:ascii="Times New Roman" w:eastAsia="Calibri" w:hAnsi="Times New Roman" w:cs="Times New Roman"/>
          <w:b/>
          <w:bCs/>
          <w:kern w:val="28"/>
          <w:sz w:val="20"/>
          <w:szCs w:val="20"/>
          <w:vertAlign w:val="superscript"/>
          <w:lang w:val="en-GB"/>
        </w:rPr>
        <w:t>(5)</w:t>
      </w:r>
      <w:r w:rsidRPr="00DE22D0">
        <w:rPr>
          <w:rFonts w:ascii="Times New Roman" w:eastAsia="Times New Roman" w:hAnsi="Times New Roman" w:cs="Times New Roman"/>
          <w:bCs/>
          <w:i/>
          <w:iCs/>
          <w:kern w:val="28"/>
          <w:sz w:val="20"/>
          <w:szCs w:val="20"/>
          <w:lang w:val="en-GB"/>
        </w:rPr>
        <w:t>.</w:t>
      </w:r>
    </w:p>
    <w:p w:rsidR="00C023B7" w:rsidRPr="00DE22D0" w:rsidRDefault="00C023B7" w:rsidP="00DE22D0">
      <w:pPr>
        <w:spacing w:after="0" w:line="240" w:lineRule="auto"/>
        <w:jc w:val="both"/>
        <w:rPr>
          <w:rFonts w:ascii="Times New Roman" w:eastAsia="Times New Roman" w:hAnsi="Times New Roman" w:cs="Times New Roman"/>
          <w:kern w:val="28"/>
          <w:sz w:val="20"/>
          <w:szCs w:val="20"/>
          <w:lang w:val="en-GB"/>
        </w:rPr>
      </w:pPr>
    </w:p>
    <w:p w:rsidR="00C023B7" w:rsidRPr="00DE22D0" w:rsidRDefault="00C023B7" w:rsidP="00DE22D0">
      <w:pPr>
        <w:spacing w:after="0" w:line="240" w:lineRule="auto"/>
        <w:jc w:val="both"/>
        <w:rPr>
          <w:rFonts w:ascii="Times New Roman" w:eastAsia="Times New Roman" w:hAnsi="Times New Roman" w:cs="Times New Roman"/>
          <w:i/>
          <w:iCs/>
          <w:kern w:val="28"/>
          <w:sz w:val="20"/>
          <w:szCs w:val="20"/>
          <w:lang w:bidi="hi-IN"/>
        </w:rPr>
      </w:pPr>
      <w:r w:rsidRPr="00DE22D0">
        <w:rPr>
          <w:rFonts w:ascii="Times New Roman" w:eastAsia="Times New Roman" w:hAnsi="Times New Roman" w:cs="Times New Roman"/>
          <w:kern w:val="28"/>
          <w:sz w:val="20"/>
          <w:szCs w:val="20"/>
          <w:lang w:val="en-GB"/>
        </w:rPr>
        <w:t xml:space="preserve">The existence of a relationship between the vascular system and frailty has been claimed since more than a decade. However, the precise stage of the vascular disease from which this association is present remains unclear although it </w:t>
      </w:r>
      <w:r w:rsidRPr="00DE22D0">
        <w:rPr>
          <w:rFonts w:ascii="Times New Roman" w:eastAsia="Times New Roman" w:hAnsi="Times New Roman" w:cs="Times New Roman"/>
          <w:kern w:val="28"/>
          <w:sz w:val="20"/>
          <w:szCs w:val="20"/>
          <w:lang w:val="en-GB"/>
        </w:rPr>
        <w:lastRenderedPageBreak/>
        <w:t>may be of great clinical relevance as to target populations suitable for intervention and prevention</w:t>
      </w:r>
      <w:r w:rsidRPr="00DE22D0">
        <w:rPr>
          <w:rFonts w:ascii="Times New Roman" w:eastAsia="Calibri" w:hAnsi="Times New Roman" w:cs="Times New Roman"/>
          <w:b/>
          <w:bCs/>
          <w:kern w:val="28"/>
          <w:sz w:val="20"/>
          <w:szCs w:val="20"/>
          <w:vertAlign w:val="superscript"/>
          <w:lang w:val="en-GB"/>
        </w:rPr>
        <w:t>(6)</w:t>
      </w:r>
      <w:r w:rsidRPr="00DE22D0">
        <w:rPr>
          <w:rFonts w:ascii="Times New Roman" w:eastAsia="Times New Roman" w:hAnsi="Times New Roman" w:cs="Times New Roman"/>
          <w:kern w:val="28"/>
          <w:sz w:val="20"/>
          <w:szCs w:val="20"/>
          <w:lang w:val="en-GB"/>
        </w:rPr>
        <w:t>.Atherosclerosis develops subclinically over many years</w:t>
      </w:r>
      <w:r w:rsidRPr="00DE22D0">
        <w:rPr>
          <w:rFonts w:ascii="Times New Roman" w:eastAsia="Times New Roman" w:hAnsi="Times New Roman" w:cs="Times New Roman"/>
          <w:kern w:val="28"/>
          <w:sz w:val="20"/>
          <w:szCs w:val="20"/>
        </w:rPr>
        <w:t>,</w:t>
      </w:r>
      <w:r w:rsidRPr="00DE22D0">
        <w:rPr>
          <w:rFonts w:ascii="Times New Roman" w:eastAsia="Times New Roman" w:hAnsi="Times New Roman" w:cs="Times New Roman"/>
          <w:kern w:val="28"/>
          <w:sz w:val="20"/>
          <w:szCs w:val="20"/>
          <w:lang w:val="en-GB"/>
        </w:rPr>
        <w:t>hence needs to be identified by screening for modified cardiovascularrisk factors</w:t>
      </w:r>
      <w:r w:rsidRPr="00DE22D0">
        <w:rPr>
          <w:rFonts w:ascii="Times New Roman" w:eastAsia="Times New Roman" w:hAnsi="Times New Roman" w:cs="Times New Roman"/>
          <w:i/>
          <w:iCs/>
          <w:kern w:val="28"/>
          <w:sz w:val="20"/>
          <w:szCs w:val="20"/>
          <w:lang w:bidi="hi-IN"/>
        </w:rPr>
        <w:t>.</w:t>
      </w:r>
    </w:p>
    <w:p w:rsidR="00C023B7" w:rsidRPr="00DE22D0" w:rsidRDefault="00C023B7" w:rsidP="00DE22D0">
      <w:pPr>
        <w:spacing w:after="0" w:line="240" w:lineRule="auto"/>
        <w:jc w:val="both"/>
        <w:rPr>
          <w:rFonts w:ascii="Times New Roman" w:eastAsia="Times New Roman" w:hAnsi="Times New Roman" w:cs="Times New Roman"/>
          <w:kern w:val="28"/>
          <w:sz w:val="20"/>
          <w:szCs w:val="20"/>
          <w:lang w:val="en-GB"/>
        </w:rPr>
      </w:pPr>
    </w:p>
    <w:p w:rsidR="00C023B7" w:rsidRPr="00DE22D0" w:rsidRDefault="00C023B7" w:rsidP="00DE22D0">
      <w:pPr>
        <w:shd w:val="clear" w:color="auto" w:fill="FFFFFF"/>
        <w:spacing w:after="0" w:line="240" w:lineRule="auto"/>
        <w:jc w:val="both"/>
        <w:rPr>
          <w:rFonts w:ascii="Times New Roman" w:eastAsia="Times New Roman" w:hAnsi="Times New Roman" w:cs="Times New Roman"/>
          <w:kern w:val="28"/>
          <w:sz w:val="20"/>
          <w:szCs w:val="20"/>
          <w:lang w:bidi="hi-IN"/>
        </w:rPr>
      </w:pPr>
      <w:r w:rsidRPr="00DE22D0">
        <w:rPr>
          <w:rFonts w:ascii="Times New Roman" w:eastAsia="Times New Roman" w:hAnsi="Times New Roman" w:cs="Times New Roman"/>
          <w:kern w:val="28"/>
          <w:sz w:val="20"/>
          <w:szCs w:val="20"/>
          <w:lang w:bidi="hi-IN"/>
        </w:rPr>
        <w:t>Peripheral arterial disease (PAD) is a major under-diagnosed vascular pathology</w:t>
      </w:r>
      <w:r w:rsidRPr="00DE22D0">
        <w:rPr>
          <w:rFonts w:ascii="Times New Roman" w:eastAsia="Times New Roman" w:hAnsi="Times New Roman" w:cs="Times New Roman"/>
          <w:b/>
          <w:bCs/>
          <w:kern w:val="28"/>
          <w:sz w:val="20"/>
          <w:szCs w:val="20"/>
          <w:vertAlign w:val="superscript"/>
          <w:lang w:bidi="hi-IN"/>
        </w:rPr>
        <w:t>(7)</w:t>
      </w:r>
      <w:r w:rsidRPr="00DE22D0">
        <w:rPr>
          <w:rFonts w:ascii="Times New Roman" w:eastAsia="Times New Roman" w:hAnsi="Times New Roman" w:cs="Times New Roman"/>
          <w:i/>
          <w:iCs/>
          <w:kern w:val="28"/>
          <w:sz w:val="20"/>
          <w:szCs w:val="20"/>
          <w:lang w:bidi="hi-IN"/>
        </w:rPr>
        <w:t>.</w:t>
      </w:r>
      <w:r w:rsidRPr="00DE22D0">
        <w:rPr>
          <w:rFonts w:ascii="Times New Roman" w:eastAsia="Times New Roman" w:hAnsi="Times New Roman" w:cs="Times New Roman"/>
          <w:kern w:val="28"/>
          <w:sz w:val="20"/>
          <w:szCs w:val="20"/>
          <w:lang w:bidi="hi-IN"/>
        </w:rPr>
        <w:t xml:space="preserve"> PAD and coronary artery disease (CAD) share similar risk factors profile and were believed to also share a common pathogenesis</w:t>
      </w:r>
      <w:r w:rsidRPr="00DE22D0">
        <w:rPr>
          <w:rFonts w:ascii="Times New Roman" w:eastAsia="Times New Roman" w:hAnsi="Times New Roman" w:cs="Times New Roman"/>
          <w:b/>
          <w:bCs/>
          <w:kern w:val="28"/>
          <w:sz w:val="20"/>
          <w:szCs w:val="20"/>
          <w:vertAlign w:val="superscript"/>
          <w:lang w:bidi="hi-IN"/>
        </w:rPr>
        <w:t>(7)</w:t>
      </w:r>
      <w:r w:rsidRPr="00DE22D0">
        <w:rPr>
          <w:rFonts w:ascii="Times New Roman" w:eastAsia="Times New Roman" w:hAnsi="Times New Roman" w:cs="Times New Roman"/>
          <w:i/>
          <w:iCs/>
          <w:kern w:val="28"/>
          <w:sz w:val="20"/>
          <w:szCs w:val="20"/>
          <w:lang w:bidi="hi-IN"/>
        </w:rPr>
        <w:t>.</w:t>
      </w:r>
      <w:r w:rsidRPr="00DE22D0">
        <w:rPr>
          <w:rFonts w:ascii="Times New Roman" w:eastAsia="Times New Roman" w:hAnsi="Times New Roman" w:cs="Times New Roman"/>
          <w:kern w:val="28"/>
          <w:sz w:val="20"/>
          <w:szCs w:val="20"/>
          <w:lang w:bidi="hi-IN"/>
        </w:rPr>
        <w:t>Detection of atherosclerosis affecting peripheral arteries at an early stage can help to reduce the effects of cardiovascular diseases.In this context, measuring the ankle brachial index(ABI) may be regarded as a simple, reliable and inexpensive but effective method of detecting subclinical atherosclerosis in peripheral artery disease</w:t>
      </w:r>
      <w:r w:rsidRPr="00DE22D0">
        <w:rPr>
          <w:rFonts w:ascii="Times New Roman" w:eastAsia="Times New Roman" w:hAnsi="Times New Roman" w:cs="Times New Roman"/>
          <w:b/>
          <w:bCs/>
          <w:kern w:val="28"/>
          <w:sz w:val="20"/>
          <w:szCs w:val="20"/>
          <w:vertAlign w:val="superscript"/>
          <w:lang w:bidi="hi-IN"/>
        </w:rPr>
        <w:t>(8,9)</w:t>
      </w:r>
      <w:r w:rsidRPr="00DE22D0">
        <w:rPr>
          <w:rFonts w:ascii="Times New Roman" w:eastAsia="Times New Roman" w:hAnsi="Times New Roman" w:cs="Times New Roman"/>
          <w:kern w:val="28"/>
          <w:sz w:val="20"/>
          <w:szCs w:val="20"/>
          <w:lang w:bidi="hi-IN"/>
        </w:rPr>
        <w:t xml:space="preserve">. </w:t>
      </w:r>
    </w:p>
    <w:p w:rsidR="00C023B7" w:rsidRPr="00DE22D0" w:rsidRDefault="00C023B7" w:rsidP="00DE22D0">
      <w:pPr>
        <w:shd w:val="clear" w:color="auto" w:fill="FFFFFF"/>
        <w:spacing w:after="0" w:line="240" w:lineRule="auto"/>
        <w:jc w:val="both"/>
        <w:rPr>
          <w:rFonts w:ascii="Times New Roman" w:eastAsia="Times New Roman" w:hAnsi="Times New Roman" w:cs="Times New Roman"/>
          <w:kern w:val="28"/>
          <w:sz w:val="20"/>
          <w:szCs w:val="20"/>
          <w:lang w:bidi="hi-IN"/>
        </w:rPr>
      </w:pPr>
    </w:p>
    <w:p w:rsidR="00C023B7" w:rsidRPr="00DE22D0" w:rsidRDefault="00C023B7" w:rsidP="00DE22D0">
      <w:pPr>
        <w:spacing w:after="0" w:line="240" w:lineRule="auto"/>
        <w:jc w:val="both"/>
        <w:rPr>
          <w:rFonts w:ascii="Times New Roman" w:eastAsia="Times New Roman" w:hAnsi="Times New Roman" w:cs="Times New Roman"/>
          <w:kern w:val="28"/>
          <w:sz w:val="20"/>
          <w:szCs w:val="20"/>
          <w:lang w:bidi="hi-IN"/>
        </w:rPr>
      </w:pPr>
      <w:r w:rsidRPr="00DE22D0">
        <w:rPr>
          <w:rFonts w:ascii="Times New Roman" w:eastAsia="Times New Roman" w:hAnsi="Times New Roman" w:cs="Times New Roman"/>
          <w:kern w:val="28"/>
          <w:sz w:val="20"/>
          <w:szCs w:val="20"/>
          <w:lang w:bidi="hi-IN"/>
        </w:rPr>
        <w:t>Decreased arterial flow indicates systemic atherosclerosis, and is regarded as an independent cardiovascular risk factor, together with an increase in carotid intima media thickness (CIMT)</w:t>
      </w:r>
      <w:r w:rsidRPr="00DE22D0">
        <w:rPr>
          <w:rFonts w:ascii="Times New Roman" w:eastAsia="Times New Roman" w:hAnsi="Times New Roman" w:cs="Times New Roman"/>
          <w:b/>
          <w:bCs/>
          <w:kern w:val="28"/>
          <w:sz w:val="20"/>
          <w:szCs w:val="20"/>
          <w:vertAlign w:val="superscript"/>
          <w:lang w:bidi="hi-IN"/>
        </w:rPr>
        <w:t>(8,9)</w:t>
      </w:r>
      <w:r w:rsidRPr="00DE22D0">
        <w:rPr>
          <w:rFonts w:ascii="Times New Roman" w:eastAsia="Times New Roman" w:hAnsi="Times New Roman" w:cs="Times New Roman"/>
          <w:kern w:val="28"/>
          <w:sz w:val="20"/>
          <w:szCs w:val="20"/>
        </w:rPr>
        <w:t>.</w:t>
      </w:r>
      <w:r w:rsidRPr="00DE22D0">
        <w:rPr>
          <w:rFonts w:ascii="Times New Roman" w:eastAsia="Times New Roman" w:hAnsi="Times New Roman" w:cs="Times New Roman"/>
          <w:kern w:val="28"/>
          <w:sz w:val="20"/>
          <w:szCs w:val="20"/>
          <w:lang w:bidi="hi-IN"/>
        </w:rPr>
        <w:t>CIMT measurement is an approved test that is simple, reliable and non-invasive in terms of determining subclinical atherosclerosis at the level of the carotid arteries. CIMT has also been recommended by the American Heart Association, American Society of Echocardiography and Society for Vascular Medicine as a screening test for heart disease in healthy individuals</w:t>
      </w:r>
      <w:r w:rsidRPr="00DE22D0">
        <w:rPr>
          <w:rFonts w:ascii="Times New Roman" w:eastAsia="Times New Roman" w:hAnsi="Times New Roman" w:cs="Times New Roman"/>
          <w:b/>
          <w:bCs/>
          <w:kern w:val="28"/>
          <w:sz w:val="20"/>
          <w:szCs w:val="20"/>
          <w:vertAlign w:val="superscript"/>
          <w:lang w:bidi="hi-IN"/>
        </w:rPr>
        <w:t>(10,11)</w:t>
      </w:r>
      <w:r w:rsidRPr="00DE22D0">
        <w:rPr>
          <w:rFonts w:ascii="Times New Roman" w:eastAsia="Times New Roman" w:hAnsi="Times New Roman" w:cs="Times New Roman"/>
          <w:kern w:val="28"/>
          <w:sz w:val="20"/>
          <w:szCs w:val="20"/>
          <w:lang w:bidi="hi-IN"/>
        </w:rPr>
        <w:t>. Newman et al. 2001 have demonstrated in their Cardiovascular Health Study that subclinical CVD (measured using CIMT and ABI) is associated with frailty in the elderly</w:t>
      </w:r>
      <w:r w:rsidRPr="00DE22D0">
        <w:rPr>
          <w:rFonts w:ascii="Times New Roman" w:eastAsia="Times New Roman" w:hAnsi="Times New Roman" w:cs="Times New Roman"/>
          <w:b/>
          <w:bCs/>
          <w:kern w:val="28"/>
          <w:sz w:val="20"/>
          <w:szCs w:val="20"/>
          <w:vertAlign w:val="superscript"/>
          <w:lang w:bidi="hi-IN"/>
        </w:rPr>
        <w:t>(12)</w:t>
      </w:r>
      <w:r w:rsidRPr="00DE22D0">
        <w:rPr>
          <w:rFonts w:ascii="Times New Roman" w:eastAsia="Times New Roman" w:hAnsi="Times New Roman" w:cs="Times New Roman"/>
          <w:kern w:val="28"/>
          <w:sz w:val="20"/>
          <w:szCs w:val="20"/>
          <w:lang w:bidi="hi-IN"/>
        </w:rPr>
        <w:t>.</w:t>
      </w:r>
    </w:p>
    <w:p w:rsidR="00C023B7" w:rsidRPr="00DE22D0" w:rsidRDefault="00C023B7" w:rsidP="00DE22D0">
      <w:pPr>
        <w:spacing w:after="0" w:line="240" w:lineRule="auto"/>
        <w:jc w:val="both"/>
        <w:rPr>
          <w:rFonts w:ascii="Times New Roman" w:eastAsia="Times New Roman" w:hAnsi="Times New Roman" w:cs="Times New Roman"/>
          <w:kern w:val="28"/>
          <w:sz w:val="20"/>
          <w:szCs w:val="20"/>
          <w:lang w:val="en-GB"/>
        </w:rPr>
      </w:pPr>
    </w:p>
    <w:p w:rsidR="00C023B7" w:rsidRPr="00DE22D0" w:rsidRDefault="00C023B7" w:rsidP="00DE22D0">
      <w:pPr>
        <w:shd w:val="clear" w:color="auto" w:fill="FFFFFF"/>
        <w:spacing w:after="0" w:line="240" w:lineRule="auto"/>
        <w:jc w:val="both"/>
        <w:rPr>
          <w:rFonts w:ascii="Times New Roman" w:eastAsia="Calibri" w:hAnsi="Times New Roman" w:cs="Times New Roman"/>
          <w:kern w:val="28"/>
          <w:sz w:val="20"/>
          <w:szCs w:val="20"/>
        </w:rPr>
      </w:pPr>
      <w:r w:rsidRPr="00DE22D0">
        <w:rPr>
          <w:rFonts w:ascii="Times New Roman" w:eastAsia="Calibri" w:hAnsi="Times New Roman" w:cs="Times New Roman"/>
          <w:kern w:val="28"/>
          <w:sz w:val="20"/>
          <w:szCs w:val="20"/>
        </w:rPr>
        <w:t>Abdominal Aortic Diameter (AAD), as a marker of subclinical aortic atherosclerosis, depends on many physiologic factors including age, sex and body surface area and is affected by a number of cardiovascular risk factors, that previously well studied</w:t>
      </w:r>
      <w:r w:rsidRPr="00DE22D0">
        <w:rPr>
          <w:rFonts w:ascii="Times New Roman" w:eastAsia="Calibri" w:hAnsi="Times New Roman" w:cs="Times New Roman"/>
          <w:b/>
          <w:bCs/>
          <w:kern w:val="28"/>
          <w:sz w:val="20"/>
          <w:szCs w:val="20"/>
          <w:vertAlign w:val="superscript"/>
        </w:rPr>
        <w:t>(13,14)</w:t>
      </w:r>
      <w:r w:rsidRPr="00DE22D0">
        <w:rPr>
          <w:rFonts w:ascii="Times New Roman" w:eastAsia="Calibri" w:hAnsi="Times New Roman" w:cs="Times New Roman"/>
          <w:bCs/>
          <w:i/>
          <w:iCs/>
          <w:kern w:val="28"/>
          <w:sz w:val="20"/>
          <w:szCs w:val="20"/>
        </w:rPr>
        <w:t>.</w:t>
      </w:r>
      <w:r w:rsidRPr="00DE22D0">
        <w:rPr>
          <w:rFonts w:ascii="Times New Roman" w:eastAsia="Calibri" w:hAnsi="Times New Roman" w:cs="Times New Roman"/>
          <w:kern w:val="28"/>
          <w:sz w:val="20"/>
          <w:szCs w:val="20"/>
        </w:rPr>
        <w:t>But the relation between AAD and frailty have not been demonstrated previously. So we tried to spot light on that issue.</w:t>
      </w:r>
    </w:p>
    <w:p w:rsidR="00C023B7" w:rsidRPr="00DE22D0" w:rsidRDefault="00C023B7" w:rsidP="00DE22D0">
      <w:pPr>
        <w:shd w:val="clear" w:color="auto" w:fill="FFFFFF"/>
        <w:spacing w:after="0" w:line="240" w:lineRule="auto"/>
        <w:jc w:val="both"/>
        <w:rPr>
          <w:rFonts w:ascii="Times New Roman" w:hAnsi="Times New Roman" w:cs="Times New Roman"/>
          <w:spacing w:val="2"/>
          <w:sz w:val="20"/>
          <w:szCs w:val="20"/>
          <w:shd w:val="clear" w:color="auto" w:fill="FCFCFC"/>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b/>
          <w:bCs/>
          <w:sz w:val="24"/>
          <w:szCs w:val="24"/>
        </w:rPr>
      </w:pPr>
      <w:r w:rsidRPr="00DE22D0">
        <w:rPr>
          <w:rFonts w:ascii="Times New Roman" w:hAnsi="Times New Roman" w:cs="Times New Roman"/>
          <w:b/>
          <w:bCs/>
          <w:sz w:val="24"/>
          <w:szCs w:val="24"/>
        </w:rPr>
        <w:t>Materials and methods</w:t>
      </w:r>
    </w:p>
    <w:p w:rsidR="00C023B7" w:rsidRPr="00DE22D0" w:rsidRDefault="00C023B7" w:rsidP="00DE22D0">
      <w:pPr>
        <w:tabs>
          <w:tab w:val="left" w:pos="4378"/>
        </w:tabs>
        <w:spacing w:after="0" w:line="240" w:lineRule="auto"/>
        <w:contextualSpacing/>
        <w:jc w:val="both"/>
        <w:rPr>
          <w:rFonts w:ascii="Times New Roman" w:hAnsi="Times New Roman" w:cs="Times New Roman"/>
          <w:b/>
          <w:bCs/>
          <w:sz w:val="20"/>
          <w:szCs w:val="20"/>
        </w:rPr>
      </w:pPr>
    </w:p>
    <w:p w:rsidR="00C023B7" w:rsidRPr="00DE22D0" w:rsidRDefault="00C023B7" w:rsidP="00DE22D0">
      <w:pPr>
        <w:tabs>
          <w:tab w:val="left" w:pos="4378"/>
        </w:tabs>
        <w:spacing w:after="0" w:line="240" w:lineRule="auto"/>
        <w:contextualSpacing/>
        <w:jc w:val="both"/>
        <w:rPr>
          <w:rFonts w:ascii="Times New Roman" w:hAnsi="Times New Roman" w:cs="Times New Roman"/>
          <w:b/>
          <w:bCs/>
          <w:sz w:val="20"/>
          <w:szCs w:val="20"/>
          <w:rtl/>
        </w:rPr>
      </w:pPr>
      <w:r w:rsidRPr="00DE22D0">
        <w:rPr>
          <w:rFonts w:ascii="Times New Roman" w:hAnsi="Times New Roman" w:cs="Times New Roman"/>
          <w:b/>
          <w:bCs/>
          <w:sz w:val="20"/>
          <w:szCs w:val="20"/>
        </w:rPr>
        <w:t>Study Design and setting</w:t>
      </w:r>
    </w:p>
    <w:p w:rsidR="00C023B7" w:rsidRPr="00DE22D0" w:rsidRDefault="00C023B7" w:rsidP="00DE22D0">
      <w:pPr>
        <w:spacing w:after="0" w:line="240" w:lineRule="auto"/>
        <w:contextualSpacing/>
        <w:jc w:val="both"/>
        <w:rPr>
          <w:rFonts w:ascii="Times New Roman" w:eastAsia="SimSun" w:hAnsi="Times New Roman" w:cs="Times New Roman"/>
          <w:spacing w:val="-4"/>
          <w:kern w:val="28"/>
          <w:sz w:val="20"/>
          <w:szCs w:val="20"/>
          <w:lang w:eastAsia="zh-CN" w:bidi="ar-EG"/>
        </w:rPr>
      </w:pPr>
      <w:r w:rsidRPr="00DE22D0">
        <w:rPr>
          <w:rFonts w:ascii="Times New Roman" w:hAnsi="Times New Roman" w:cs="Times New Roman"/>
          <w:sz w:val="20"/>
          <w:szCs w:val="20"/>
          <w:lang w:bidi="ar-EG"/>
        </w:rPr>
        <w:t>A</w:t>
      </w:r>
      <w:r w:rsidRPr="00DE22D0">
        <w:rPr>
          <w:rFonts w:ascii="Times New Roman" w:hAnsi="Times New Roman" w:cs="Times New Roman"/>
          <w:sz w:val="20"/>
          <w:szCs w:val="20"/>
        </w:rPr>
        <w:t xml:space="preserve"> cross-sectional study included 90 elderly subjects 60 years old or more recruited from the inpatient wards and the outpatient clinics in Ain Shams University hospitals</w:t>
      </w:r>
      <w:r w:rsidRPr="00DE22D0">
        <w:rPr>
          <w:rFonts w:ascii="Times New Roman" w:eastAsia="Times New Roman" w:hAnsi="Times New Roman" w:cs="Times New Roman"/>
          <w:kern w:val="28"/>
          <w:sz w:val="20"/>
          <w:szCs w:val="20"/>
          <w:lang w:eastAsia="zh-CN" w:bidi="hi-IN"/>
        </w:rPr>
        <w:t>.</w:t>
      </w:r>
      <w:r w:rsidRPr="00DE22D0">
        <w:rPr>
          <w:rFonts w:ascii="Times New Roman" w:hAnsi="Times New Roman" w:cs="Times New Roman"/>
          <w:sz w:val="20"/>
          <w:szCs w:val="20"/>
        </w:rPr>
        <w:t>The study sample was divided into 3 groups according to Fried’scriteria</w:t>
      </w:r>
      <w:r w:rsidRPr="00DE22D0">
        <w:rPr>
          <w:rFonts w:ascii="Times New Roman" w:hAnsi="Times New Roman" w:cs="Times New Roman"/>
          <w:b/>
          <w:bCs/>
          <w:sz w:val="20"/>
          <w:szCs w:val="20"/>
          <w:vertAlign w:val="superscript"/>
        </w:rPr>
        <w:t>(15)</w:t>
      </w:r>
      <w:r w:rsidRPr="00DE22D0">
        <w:rPr>
          <w:rFonts w:ascii="Times New Roman" w:hAnsi="Times New Roman" w:cs="Times New Roman"/>
          <w:sz w:val="20"/>
          <w:szCs w:val="20"/>
        </w:rPr>
        <w:t xml:space="preserve"> as applied by Avila-Funes et al.</w:t>
      </w:r>
      <w:r w:rsidRPr="00DE22D0">
        <w:rPr>
          <w:rFonts w:ascii="Times New Roman" w:hAnsi="Times New Roman" w:cs="Times New Roman"/>
          <w:b/>
          <w:bCs/>
          <w:sz w:val="20"/>
          <w:szCs w:val="20"/>
          <w:vertAlign w:val="superscript"/>
        </w:rPr>
        <w:t>(16)</w:t>
      </w:r>
      <w:r w:rsidRPr="00DE22D0">
        <w:rPr>
          <w:rFonts w:ascii="Times New Roman" w:hAnsi="Times New Roman" w:cs="Times New Roman"/>
          <w:sz w:val="20"/>
          <w:szCs w:val="20"/>
        </w:rPr>
        <w:t xml:space="preserve"> of frailty;</w:t>
      </w:r>
    </w:p>
    <w:p w:rsidR="00C023B7" w:rsidRPr="00DE22D0" w:rsidRDefault="00C023B7" w:rsidP="00DE22D0">
      <w:pPr>
        <w:tabs>
          <w:tab w:val="left" w:pos="4378"/>
        </w:tabs>
        <w:spacing w:after="0" w:line="240" w:lineRule="auto"/>
        <w:contextualSpacing/>
        <w:jc w:val="both"/>
        <w:rPr>
          <w:rFonts w:ascii="Times New Roman" w:hAnsi="Times New Roman" w:cs="Times New Roman"/>
          <w:b/>
          <w:bCs/>
          <w:sz w:val="20"/>
          <w:szCs w:val="20"/>
        </w:rPr>
      </w:pPr>
    </w:p>
    <w:p w:rsidR="00C023B7" w:rsidRPr="00DE22D0" w:rsidRDefault="00C023B7" w:rsidP="00DE22D0">
      <w:pPr>
        <w:tabs>
          <w:tab w:val="left" w:pos="4378"/>
        </w:tabs>
        <w:spacing w:after="0" w:line="240" w:lineRule="auto"/>
        <w:contextualSpacing/>
        <w:jc w:val="both"/>
        <w:rPr>
          <w:rFonts w:ascii="Times New Roman" w:hAnsi="Times New Roman" w:cs="Times New Roman"/>
          <w:sz w:val="20"/>
          <w:szCs w:val="20"/>
        </w:rPr>
      </w:pPr>
      <w:r w:rsidRPr="00DE22D0">
        <w:rPr>
          <w:rFonts w:ascii="Times New Roman" w:hAnsi="Times New Roman" w:cs="Times New Roman"/>
          <w:b/>
          <w:bCs/>
          <w:sz w:val="20"/>
          <w:szCs w:val="20"/>
        </w:rPr>
        <w:t>Inclusion Criteria:</w:t>
      </w:r>
      <w:r w:rsidR="00DE22D0" w:rsidRPr="00DE22D0">
        <w:rPr>
          <w:rFonts w:ascii="Times New Roman" w:hAnsi="Times New Roman" w:cs="Times New Roman"/>
          <w:b/>
          <w:bCs/>
          <w:sz w:val="20"/>
          <w:szCs w:val="20"/>
        </w:rPr>
        <w:t xml:space="preserve"> </w:t>
      </w:r>
      <w:r w:rsidRPr="00DE22D0">
        <w:rPr>
          <w:rFonts w:ascii="Times New Roman" w:hAnsi="Times New Roman" w:cs="Times New Roman"/>
          <w:sz w:val="20"/>
          <w:szCs w:val="20"/>
        </w:rPr>
        <w:t>Elderly both males and females who are 60 years or more, free of cardiovascular symptoms, who approved to participate in the study.</w:t>
      </w:r>
    </w:p>
    <w:p w:rsidR="00C023B7" w:rsidRPr="00DE22D0" w:rsidRDefault="00C023B7" w:rsidP="00DE22D0">
      <w:pPr>
        <w:tabs>
          <w:tab w:val="left" w:pos="4378"/>
        </w:tabs>
        <w:spacing w:after="0" w:line="240" w:lineRule="auto"/>
        <w:contextualSpacing/>
        <w:rPr>
          <w:rFonts w:ascii="Times New Roman" w:hAnsi="Times New Roman" w:cs="Times New Roman"/>
          <w:b/>
          <w:bCs/>
          <w:sz w:val="20"/>
          <w:szCs w:val="20"/>
        </w:rPr>
      </w:pPr>
    </w:p>
    <w:p w:rsidR="00C023B7" w:rsidRPr="00DE22D0" w:rsidRDefault="00C023B7" w:rsidP="00DE22D0">
      <w:pPr>
        <w:tabs>
          <w:tab w:val="left" w:pos="4378"/>
        </w:tabs>
        <w:spacing w:after="0" w:line="240" w:lineRule="auto"/>
        <w:contextualSpacing/>
        <w:rPr>
          <w:rFonts w:ascii="Times New Roman" w:hAnsi="Times New Roman" w:cs="Times New Roman"/>
          <w:b/>
          <w:bCs/>
          <w:sz w:val="20"/>
          <w:szCs w:val="20"/>
        </w:rPr>
      </w:pPr>
      <w:r w:rsidRPr="00DE22D0">
        <w:rPr>
          <w:rFonts w:ascii="Times New Roman" w:hAnsi="Times New Roman" w:cs="Times New Roman"/>
          <w:b/>
          <w:bCs/>
          <w:sz w:val="20"/>
          <w:szCs w:val="20"/>
        </w:rPr>
        <w:t>Methods</w:t>
      </w:r>
    </w:p>
    <w:p w:rsidR="00C023B7" w:rsidRPr="00DE22D0" w:rsidRDefault="00C023B7" w:rsidP="00DE22D0">
      <w:pPr>
        <w:pStyle w:val="ListParagraph"/>
        <w:numPr>
          <w:ilvl w:val="0"/>
          <w:numId w:val="6"/>
        </w:numPr>
        <w:tabs>
          <w:tab w:val="left" w:pos="4378"/>
        </w:tabs>
        <w:spacing w:after="0" w:line="240" w:lineRule="auto"/>
        <w:jc w:val="both"/>
        <w:rPr>
          <w:rFonts w:ascii="Times New Roman" w:hAnsi="Times New Roman" w:cs="Times New Roman"/>
          <w:sz w:val="20"/>
          <w:szCs w:val="20"/>
        </w:rPr>
      </w:pPr>
      <w:r w:rsidRPr="00DE22D0">
        <w:rPr>
          <w:rFonts w:ascii="Times New Roman" w:hAnsi="Times New Roman" w:cs="Times New Roman"/>
          <w:b/>
          <w:bCs/>
          <w:sz w:val="20"/>
          <w:szCs w:val="20"/>
        </w:rPr>
        <w:t xml:space="preserve">Ethical considerations: </w:t>
      </w:r>
      <w:r w:rsidRPr="00DE22D0">
        <w:rPr>
          <w:rFonts w:ascii="Times New Roman" w:hAnsi="Times New Roman" w:cs="Times New Roman"/>
          <w:sz w:val="20"/>
          <w:szCs w:val="20"/>
        </w:rPr>
        <w:t>Informed consent was taken from every participant in the study, the study purpose &amp; methods were explained to all of them. The study methodology was reviewed and approved by the Research Review Board of the Geriatrics and Gerontology Department Faculty of Medicine Ain Shams University, and the Ethical Committee Unit of the Faculty of Medicine Ain Shams University.</w:t>
      </w:r>
    </w:p>
    <w:p w:rsidR="00C023B7" w:rsidRPr="00DE22D0" w:rsidRDefault="00C023B7" w:rsidP="00DE22D0">
      <w:pPr>
        <w:pStyle w:val="ListParagraph"/>
        <w:tabs>
          <w:tab w:val="left" w:pos="4378"/>
        </w:tabs>
        <w:spacing w:after="0" w:line="240" w:lineRule="auto"/>
        <w:jc w:val="both"/>
        <w:rPr>
          <w:rFonts w:ascii="Times New Roman" w:hAnsi="Times New Roman" w:cs="Times New Roman"/>
          <w:sz w:val="20"/>
          <w:szCs w:val="20"/>
        </w:rPr>
      </w:pPr>
    </w:p>
    <w:p w:rsidR="00C023B7" w:rsidRPr="00DE22D0" w:rsidRDefault="00C023B7" w:rsidP="00DE22D0">
      <w:pPr>
        <w:pStyle w:val="ListParagraph"/>
        <w:numPr>
          <w:ilvl w:val="0"/>
          <w:numId w:val="6"/>
        </w:numPr>
        <w:tabs>
          <w:tab w:val="left" w:pos="4378"/>
        </w:tabs>
        <w:spacing w:after="0" w:line="240" w:lineRule="auto"/>
        <w:jc w:val="both"/>
        <w:rPr>
          <w:rFonts w:ascii="Times New Roman" w:hAnsi="Times New Roman" w:cs="Times New Roman"/>
          <w:sz w:val="20"/>
          <w:szCs w:val="20"/>
        </w:rPr>
      </w:pPr>
      <w:r w:rsidRPr="00DE22D0">
        <w:rPr>
          <w:rFonts w:ascii="Times New Roman" w:hAnsi="Times New Roman" w:cs="Times New Roman"/>
          <w:b/>
          <w:bCs/>
          <w:sz w:val="20"/>
          <w:szCs w:val="20"/>
        </w:rPr>
        <w:t xml:space="preserve">Comprehensive geriatric assessment: </w:t>
      </w:r>
      <w:r w:rsidRPr="00DE22D0">
        <w:rPr>
          <w:rFonts w:ascii="Times New Roman" w:hAnsi="Times New Roman" w:cs="Times New Roman"/>
          <w:sz w:val="20"/>
          <w:szCs w:val="20"/>
        </w:rPr>
        <w:t>detailed history and physicalexamination, cognitive function assessment using Arabic  version of Minimental status examination (MMSE)</w:t>
      </w:r>
      <w:r w:rsidRPr="00DE22D0">
        <w:rPr>
          <w:rFonts w:ascii="Times New Roman" w:hAnsi="Times New Roman" w:cs="Times New Roman"/>
          <w:b/>
          <w:bCs/>
          <w:sz w:val="20"/>
          <w:szCs w:val="20"/>
          <w:vertAlign w:val="superscript"/>
        </w:rPr>
        <w:t>(17, 18)</w:t>
      </w:r>
      <w:r w:rsidRPr="00DE22D0">
        <w:rPr>
          <w:rFonts w:ascii="Times New Roman" w:hAnsi="Times New Roman" w:cs="Times New Roman"/>
          <w:sz w:val="20"/>
          <w:szCs w:val="20"/>
        </w:rPr>
        <w:t>, functional assessment byArabic  version of Activities of daily living (ADL)</w:t>
      </w:r>
      <w:r w:rsidRPr="00DE22D0">
        <w:rPr>
          <w:rFonts w:ascii="Times New Roman" w:hAnsi="Times New Roman" w:cs="Times New Roman"/>
          <w:b/>
          <w:bCs/>
          <w:sz w:val="20"/>
          <w:szCs w:val="20"/>
          <w:vertAlign w:val="superscript"/>
        </w:rPr>
        <w:t>(19,20)</w:t>
      </w:r>
      <w:r w:rsidRPr="00DE22D0">
        <w:rPr>
          <w:rFonts w:ascii="Times New Roman" w:hAnsi="Times New Roman" w:cs="Times New Roman"/>
          <w:sz w:val="20"/>
          <w:szCs w:val="20"/>
        </w:rPr>
        <w:t>, and Arabic version of Instrumental activities of daily living (IADL)</w:t>
      </w:r>
      <w:r w:rsidRPr="00DE22D0">
        <w:rPr>
          <w:rFonts w:ascii="Times New Roman" w:hAnsi="Times New Roman" w:cs="Times New Roman"/>
          <w:b/>
          <w:bCs/>
          <w:sz w:val="20"/>
          <w:szCs w:val="20"/>
          <w:vertAlign w:val="superscript"/>
        </w:rPr>
        <w:t>(21,22)</w:t>
      </w:r>
      <w:r w:rsidRPr="00DE22D0">
        <w:rPr>
          <w:rFonts w:ascii="Times New Roman" w:hAnsi="Times New Roman" w:cs="Times New Roman"/>
          <w:sz w:val="20"/>
          <w:szCs w:val="20"/>
        </w:rPr>
        <w:t xml:space="preserve">. Arabic version of Geriatric depression scale 15 items (GDS-15) was used to screen for depression </w:t>
      </w:r>
      <w:r w:rsidRPr="00DE22D0">
        <w:rPr>
          <w:rFonts w:ascii="Times New Roman" w:hAnsi="Times New Roman" w:cs="Times New Roman"/>
          <w:b/>
          <w:bCs/>
          <w:sz w:val="20"/>
          <w:szCs w:val="20"/>
          <w:vertAlign w:val="superscript"/>
        </w:rPr>
        <w:t>(23,24)</w:t>
      </w:r>
      <w:r w:rsidRPr="00DE22D0">
        <w:rPr>
          <w:rFonts w:ascii="Times New Roman" w:hAnsi="Times New Roman" w:cs="Times New Roman"/>
          <w:sz w:val="20"/>
          <w:szCs w:val="20"/>
        </w:rPr>
        <w:t xml:space="preserve"> (Those items are done as a routine assessment ofelder patients).</w:t>
      </w:r>
    </w:p>
    <w:p w:rsidR="00C023B7" w:rsidRPr="00DE22D0" w:rsidRDefault="00C023B7" w:rsidP="00DE22D0">
      <w:pPr>
        <w:pStyle w:val="ListParagraph"/>
        <w:tabs>
          <w:tab w:val="left" w:pos="4378"/>
        </w:tabs>
        <w:spacing w:after="0" w:line="240" w:lineRule="auto"/>
        <w:jc w:val="both"/>
        <w:rPr>
          <w:rFonts w:ascii="Times New Roman" w:hAnsi="Times New Roman" w:cs="Times New Roman"/>
          <w:sz w:val="20"/>
          <w:szCs w:val="20"/>
        </w:rPr>
      </w:pPr>
    </w:p>
    <w:p w:rsidR="00C023B7" w:rsidRPr="00DE22D0" w:rsidRDefault="00C023B7" w:rsidP="00DE22D0">
      <w:pPr>
        <w:pStyle w:val="ListParagraph"/>
        <w:numPr>
          <w:ilvl w:val="0"/>
          <w:numId w:val="6"/>
        </w:numPr>
        <w:tabs>
          <w:tab w:val="left" w:pos="4378"/>
        </w:tabs>
        <w:spacing w:after="0" w:line="240" w:lineRule="auto"/>
        <w:jc w:val="both"/>
        <w:rPr>
          <w:rFonts w:ascii="Times New Roman" w:hAnsi="Times New Roman" w:cs="Times New Roman"/>
          <w:sz w:val="20"/>
          <w:szCs w:val="20"/>
        </w:rPr>
      </w:pPr>
      <w:r w:rsidRPr="00DE22D0">
        <w:rPr>
          <w:rFonts w:ascii="Times New Roman" w:hAnsi="Times New Roman" w:cs="Times New Roman"/>
          <w:b/>
          <w:bCs/>
          <w:sz w:val="20"/>
          <w:szCs w:val="20"/>
        </w:rPr>
        <w:t xml:space="preserve">Frailty assessment: </w:t>
      </w:r>
      <w:r w:rsidRPr="00DE22D0">
        <w:rPr>
          <w:rFonts w:ascii="Times New Roman" w:hAnsi="Times New Roman" w:cs="Times New Roman"/>
          <w:sz w:val="20"/>
          <w:szCs w:val="20"/>
        </w:rPr>
        <w:t xml:space="preserve">Frailty was defined according to the construct previously validated by Fried </w:t>
      </w:r>
      <w:r w:rsidRPr="00DE22D0">
        <w:rPr>
          <w:rFonts w:ascii="Times New Roman" w:hAnsi="Times New Roman" w:cs="Times New Roman"/>
          <w:i/>
          <w:iCs/>
          <w:sz w:val="20"/>
          <w:szCs w:val="20"/>
        </w:rPr>
        <w:t>et al</w:t>
      </w:r>
      <w:r w:rsidRPr="00DE22D0">
        <w:rPr>
          <w:rFonts w:ascii="Times New Roman" w:hAnsi="Times New Roman" w:cs="Times New Roman"/>
          <w:sz w:val="20"/>
          <w:szCs w:val="20"/>
        </w:rPr>
        <w:t>. in the CardiovascularHealth Study</w:t>
      </w:r>
      <w:r w:rsidRPr="00DE22D0">
        <w:rPr>
          <w:rFonts w:ascii="Times New Roman" w:hAnsi="Times New Roman" w:cs="Times New Roman"/>
          <w:b/>
          <w:bCs/>
          <w:sz w:val="20"/>
          <w:szCs w:val="20"/>
          <w:vertAlign w:val="superscript"/>
        </w:rPr>
        <w:t>(15)</w:t>
      </w:r>
      <w:r w:rsidRPr="00DE22D0">
        <w:rPr>
          <w:rFonts w:ascii="Times New Roman" w:hAnsi="Times New Roman" w:cs="Times New Roman"/>
          <w:sz w:val="20"/>
          <w:szCs w:val="20"/>
        </w:rPr>
        <w:t>. All five components from the original phenotype were retained; however, the metrics used tocharacterize the frailty criteria were slightly different and defined as follows</w:t>
      </w:r>
      <w:r w:rsidRPr="00DE22D0">
        <w:rPr>
          <w:rFonts w:ascii="Times New Roman" w:hAnsi="Times New Roman" w:cs="Times New Roman"/>
          <w:b/>
          <w:bCs/>
          <w:sz w:val="20"/>
          <w:szCs w:val="20"/>
          <w:vertAlign w:val="superscript"/>
        </w:rPr>
        <w:t>(16)</w:t>
      </w:r>
      <w:r w:rsidRPr="00DE22D0">
        <w:rPr>
          <w:rFonts w:ascii="Times New Roman" w:hAnsi="Times New Roman" w:cs="Times New Roman"/>
          <w:sz w:val="20"/>
          <w:szCs w:val="20"/>
        </w:rPr>
        <w:t>:</w:t>
      </w:r>
    </w:p>
    <w:p w:rsidR="00C023B7" w:rsidRPr="00DE22D0" w:rsidRDefault="00C023B7" w:rsidP="00DE22D0">
      <w:pPr>
        <w:pStyle w:val="ListParagraph"/>
        <w:spacing w:after="0" w:line="240" w:lineRule="auto"/>
        <w:rPr>
          <w:rFonts w:ascii="Times New Roman" w:hAnsi="Times New Roman" w:cs="Times New Roman"/>
          <w:sz w:val="20"/>
          <w:szCs w:val="20"/>
        </w:rPr>
      </w:pPr>
    </w:p>
    <w:p w:rsidR="00C023B7" w:rsidRPr="00DE22D0" w:rsidRDefault="00C023B7" w:rsidP="00DE22D0">
      <w:pPr>
        <w:pStyle w:val="ListParagraph"/>
        <w:tabs>
          <w:tab w:val="left" w:pos="4378"/>
        </w:tabs>
        <w:spacing w:after="0" w:line="240" w:lineRule="auto"/>
        <w:jc w:val="both"/>
        <w:rPr>
          <w:rFonts w:ascii="Times New Roman" w:hAnsi="Times New Roman" w:cs="Times New Roman"/>
          <w:sz w:val="20"/>
          <w:szCs w:val="20"/>
        </w:rPr>
      </w:pPr>
    </w:p>
    <w:p w:rsidR="00C023B7" w:rsidRPr="00DE22D0" w:rsidRDefault="00C023B7" w:rsidP="00DE22D0">
      <w:pPr>
        <w:pStyle w:val="ListParagraph"/>
        <w:numPr>
          <w:ilvl w:val="0"/>
          <w:numId w:val="5"/>
        </w:numPr>
        <w:autoSpaceDE w:val="0"/>
        <w:autoSpaceDN w:val="0"/>
        <w:adjustRightInd w:val="0"/>
        <w:spacing w:after="0" w:line="240" w:lineRule="auto"/>
        <w:ind w:left="641" w:hanging="357"/>
        <w:contextualSpacing w:val="0"/>
        <w:jc w:val="both"/>
        <w:rPr>
          <w:rFonts w:ascii="Times New Roman" w:hAnsi="Times New Roman" w:cs="Times New Roman"/>
          <w:sz w:val="20"/>
          <w:szCs w:val="20"/>
        </w:rPr>
      </w:pPr>
      <w:r w:rsidRPr="00DE22D0">
        <w:rPr>
          <w:rFonts w:ascii="Times New Roman" w:hAnsi="Times New Roman" w:cs="Times New Roman"/>
          <w:b/>
          <w:i/>
          <w:sz w:val="20"/>
          <w:szCs w:val="20"/>
        </w:rPr>
        <w:t>Shrinking</w:t>
      </w:r>
      <w:r w:rsidRPr="00DE22D0">
        <w:rPr>
          <w:rFonts w:ascii="Times New Roman" w:hAnsi="Times New Roman" w:cs="Times New Roman"/>
          <w:sz w:val="20"/>
          <w:szCs w:val="20"/>
        </w:rPr>
        <w:t xml:space="preserve">: Recent and unintentional weight loss of </w:t>
      </w:r>
      <w:r w:rsidRPr="00DE22D0">
        <w:rPr>
          <w:rFonts w:ascii="Times New Roman" w:eastAsia="TimesNewRomanPSMT" w:hAnsi="Times New Roman" w:cs="Times New Roman"/>
          <w:sz w:val="20"/>
          <w:szCs w:val="20"/>
        </w:rPr>
        <w:t>≥3 kg in the prior year was identified and body mass i</w:t>
      </w:r>
      <w:r w:rsidRPr="00DE22D0">
        <w:rPr>
          <w:rFonts w:ascii="Times New Roman" w:hAnsi="Times New Roman" w:cs="Times New Roman"/>
          <w:sz w:val="20"/>
          <w:szCs w:val="20"/>
        </w:rPr>
        <w:t>ndexcalculated. Participants who answered “yes” for weight loss or had a body mass index &lt; 21 kg/m2 wereconsidered to be frail for this component.</w:t>
      </w:r>
    </w:p>
    <w:p w:rsidR="00C023B7" w:rsidRPr="00DE22D0" w:rsidRDefault="00C023B7" w:rsidP="00DE22D0">
      <w:pPr>
        <w:pStyle w:val="ListParagraph"/>
        <w:numPr>
          <w:ilvl w:val="0"/>
          <w:numId w:val="5"/>
        </w:numPr>
        <w:autoSpaceDE w:val="0"/>
        <w:autoSpaceDN w:val="0"/>
        <w:adjustRightInd w:val="0"/>
        <w:spacing w:after="0" w:line="240" w:lineRule="auto"/>
        <w:ind w:left="641" w:hanging="357"/>
        <w:contextualSpacing w:val="0"/>
        <w:jc w:val="both"/>
        <w:rPr>
          <w:rFonts w:ascii="Times New Roman" w:hAnsi="Times New Roman" w:cs="Times New Roman"/>
          <w:sz w:val="20"/>
          <w:szCs w:val="20"/>
        </w:rPr>
      </w:pPr>
      <w:r w:rsidRPr="00DE22D0">
        <w:rPr>
          <w:rFonts w:ascii="Times New Roman" w:hAnsi="Times New Roman" w:cs="Times New Roman"/>
          <w:b/>
          <w:i/>
          <w:sz w:val="20"/>
          <w:szCs w:val="20"/>
        </w:rPr>
        <w:t>Poor endurance and energy</w:t>
      </w:r>
      <w:r w:rsidRPr="00DE22D0">
        <w:rPr>
          <w:rFonts w:ascii="Times New Roman" w:hAnsi="Times New Roman" w:cs="Times New Roman"/>
          <w:sz w:val="20"/>
          <w:szCs w:val="20"/>
        </w:rPr>
        <w:t>As indicated by self report of exhaustion, identified by two questions from theCenter for Epidemiological Studies-Depression scale (CES-D)</w:t>
      </w:r>
      <w:r w:rsidRPr="00DE22D0">
        <w:rPr>
          <w:rFonts w:ascii="Times New Roman" w:hAnsi="Times New Roman" w:cs="Times New Roman"/>
          <w:b/>
          <w:bCs/>
          <w:sz w:val="20"/>
          <w:szCs w:val="20"/>
          <w:vertAlign w:val="superscript"/>
        </w:rPr>
        <w:t>(25)</w:t>
      </w:r>
      <w:r w:rsidRPr="00DE22D0">
        <w:rPr>
          <w:rFonts w:ascii="Times New Roman" w:hAnsi="Times New Roman" w:cs="Times New Roman"/>
          <w:sz w:val="20"/>
          <w:szCs w:val="20"/>
        </w:rPr>
        <w:t>: “I felt that everything I did was an effort”and “I could not get going.” Participants were asked: “How often, in the last week, did you feel this way?” 0= rarely or none of the time; 1 = some or a little of the time; 2 = a moderate amount of the time; or 3 = mostof the time. Participants answering “2” or “3” to either of these questions were considered as frail by exhaustion.</w:t>
      </w:r>
    </w:p>
    <w:p w:rsidR="00C023B7" w:rsidRPr="00DE22D0" w:rsidRDefault="00C023B7" w:rsidP="00DE22D0">
      <w:pPr>
        <w:pStyle w:val="ListParagraph"/>
        <w:numPr>
          <w:ilvl w:val="0"/>
          <w:numId w:val="5"/>
        </w:numPr>
        <w:autoSpaceDE w:val="0"/>
        <w:autoSpaceDN w:val="0"/>
        <w:adjustRightInd w:val="0"/>
        <w:spacing w:after="0" w:line="240" w:lineRule="auto"/>
        <w:ind w:left="641" w:hanging="357"/>
        <w:contextualSpacing w:val="0"/>
        <w:jc w:val="both"/>
        <w:rPr>
          <w:rFonts w:ascii="Times New Roman" w:hAnsi="Times New Roman" w:cs="Times New Roman"/>
          <w:sz w:val="20"/>
          <w:szCs w:val="20"/>
        </w:rPr>
      </w:pPr>
      <w:r w:rsidRPr="00DE22D0">
        <w:rPr>
          <w:rFonts w:ascii="Times New Roman" w:hAnsi="Times New Roman" w:cs="Times New Roman"/>
          <w:b/>
          <w:i/>
          <w:sz w:val="20"/>
          <w:szCs w:val="20"/>
        </w:rPr>
        <w:t xml:space="preserve">Slowness: </w:t>
      </w:r>
      <w:r w:rsidRPr="00DE22D0">
        <w:rPr>
          <w:rFonts w:ascii="Times New Roman" w:hAnsi="Times New Roman" w:cs="Times New Roman"/>
          <w:sz w:val="20"/>
          <w:szCs w:val="20"/>
        </w:rPr>
        <w:t>Meets criteria for frailty if t</w:t>
      </w:r>
      <w:r w:rsidRPr="00DE22D0">
        <w:rPr>
          <w:rFonts w:ascii="Times New Roman" w:eastAsia="TimesNewRomanPSMT" w:hAnsi="Times New Roman" w:cs="Times New Roman"/>
          <w:sz w:val="20"/>
          <w:szCs w:val="20"/>
        </w:rPr>
        <w:t>ime to walk 6 m was ≥8 seconds for height ≤17</w:t>
      </w:r>
      <w:r w:rsidRPr="00DE22D0">
        <w:rPr>
          <w:rFonts w:ascii="Times New Roman" w:hAnsi="Times New Roman" w:cs="Times New Roman"/>
          <w:sz w:val="20"/>
          <w:szCs w:val="20"/>
        </w:rPr>
        <w:t>3 cm or &gt;7 secondsfor height &gt;173 cm in mal</w:t>
      </w:r>
      <w:r w:rsidRPr="00DE22D0">
        <w:rPr>
          <w:rFonts w:ascii="Times New Roman" w:eastAsia="TimesNewRomanPSMT" w:hAnsi="Times New Roman" w:cs="Times New Roman"/>
          <w:sz w:val="20"/>
          <w:szCs w:val="20"/>
        </w:rPr>
        <w:t>es, and ≥8 seconds for height ≤</w:t>
      </w:r>
      <w:r w:rsidRPr="00DE22D0">
        <w:rPr>
          <w:rFonts w:ascii="Times New Roman" w:hAnsi="Times New Roman" w:cs="Times New Roman"/>
          <w:sz w:val="20"/>
          <w:szCs w:val="20"/>
        </w:rPr>
        <w:t>159 cm or &gt;7 seconds for height &gt;159 cm in females.</w:t>
      </w:r>
    </w:p>
    <w:p w:rsidR="00C023B7" w:rsidRPr="00DE22D0" w:rsidRDefault="00C023B7" w:rsidP="00DE22D0">
      <w:pPr>
        <w:pStyle w:val="ListParagraph"/>
        <w:numPr>
          <w:ilvl w:val="0"/>
          <w:numId w:val="5"/>
        </w:numPr>
        <w:autoSpaceDE w:val="0"/>
        <w:autoSpaceDN w:val="0"/>
        <w:adjustRightInd w:val="0"/>
        <w:spacing w:after="0" w:line="240" w:lineRule="auto"/>
        <w:ind w:left="641" w:hanging="357"/>
        <w:contextualSpacing w:val="0"/>
        <w:jc w:val="both"/>
        <w:rPr>
          <w:rFonts w:ascii="Times New Roman" w:hAnsi="Times New Roman" w:cs="Times New Roman"/>
          <w:sz w:val="20"/>
          <w:szCs w:val="20"/>
        </w:rPr>
      </w:pPr>
      <w:r w:rsidRPr="00DE22D0">
        <w:rPr>
          <w:rFonts w:ascii="Times New Roman" w:hAnsi="Times New Roman" w:cs="Times New Roman"/>
          <w:b/>
          <w:i/>
          <w:sz w:val="20"/>
          <w:szCs w:val="20"/>
        </w:rPr>
        <w:t xml:space="preserve">Weakness: </w:t>
      </w:r>
      <w:r w:rsidRPr="00DE22D0">
        <w:rPr>
          <w:rFonts w:ascii="Times New Roman" w:hAnsi="Times New Roman" w:cs="Times New Roman"/>
          <w:sz w:val="20"/>
          <w:szCs w:val="20"/>
        </w:rPr>
        <w:t>Participants answering “yes” to the following question were categorized as frail for this component:“Do you have difficulty rising from a chair?”</w:t>
      </w:r>
    </w:p>
    <w:p w:rsidR="00C023B7" w:rsidRPr="00DE22D0" w:rsidRDefault="00C023B7" w:rsidP="00DE22D0">
      <w:pPr>
        <w:pStyle w:val="ListParagraph"/>
        <w:numPr>
          <w:ilvl w:val="0"/>
          <w:numId w:val="5"/>
        </w:numPr>
        <w:autoSpaceDE w:val="0"/>
        <w:autoSpaceDN w:val="0"/>
        <w:adjustRightInd w:val="0"/>
        <w:spacing w:after="0" w:line="240" w:lineRule="auto"/>
        <w:ind w:left="641" w:hanging="357"/>
        <w:contextualSpacing w:val="0"/>
        <w:jc w:val="both"/>
        <w:rPr>
          <w:rFonts w:ascii="Times New Roman" w:hAnsi="Times New Roman" w:cs="Times New Roman"/>
          <w:sz w:val="20"/>
          <w:szCs w:val="20"/>
        </w:rPr>
      </w:pPr>
      <w:r w:rsidRPr="00DE22D0">
        <w:rPr>
          <w:rFonts w:ascii="Times New Roman" w:hAnsi="Times New Roman" w:cs="Times New Roman"/>
          <w:b/>
          <w:i/>
          <w:sz w:val="20"/>
          <w:szCs w:val="20"/>
        </w:rPr>
        <w:t xml:space="preserve">Low physical activity </w:t>
      </w:r>
      <w:r w:rsidRPr="00DE22D0">
        <w:rPr>
          <w:rFonts w:ascii="Times New Roman" w:hAnsi="Times New Roman" w:cs="Times New Roman"/>
          <w:sz w:val="20"/>
          <w:szCs w:val="20"/>
        </w:rPr>
        <w:t>A single response was used to estimate physical activity. Individuals who denied doingdaily leisure activities such as walking or gardening and/or denied doing some sport activity per weekwere categorized as physically inactive. Those who reported doing them were considered to be active.</w:t>
      </w:r>
    </w:p>
    <w:p w:rsidR="00C023B7" w:rsidRPr="00DE22D0" w:rsidRDefault="00C023B7" w:rsidP="00DE22D0">
      <w:pPr>
        <w:autoSpaceDE w:val="0"/>
        <w:autoSpaceDN w:val="0"/>
        <w:adjustRightInd w:val="0"/>
        <w:spacing w:after="0" w:line="240" w:lineRule="auto"/>
        <w:ind w:left="284"/>
        <w:jc w:val="both"/>
        <w:rPr>
          <w:rFonts w:ascii="Times New Roman" w:hAnsi="Times New Roman" w:cs="Times New Roman"/>
          <w:sz w:val="20"/>
          <w:szCs w:val="20"/>
        </w:rPr>
      </w:pPr>
    </w:p>
    <w:p w:rsidR="00C023B7" w:rsidRPr="00DE22D0" w:rsidRDefault="00C023B7" w:rsidP="00DE22D0">
      <w:pPr>
        <w:autoSpaceDE w:val="0"/>
        <w:autoSpaceDN w:val="0"/>
        <w:adjustRightInd w:val="0"/>
        <w:spacing w:after="0" w:line="240" w:lineRule="auto"/>
        <w:ind w:left="284"/>
        <w:jc w:val="both"/>
        <w:rPr>
          <w:rFonts w:ascii="Times New Roman" w:hAnsi="Times New Roman" w:cs="Times New Roman"/>
          <w:sz w:val="20"/>
          <w:szCs w:val="20"/>
        </w:rPr>
      </w:pPr>
      <w:r w:rsidRPr="00DE22D0">
        <w:rPr>
          <w:rFonts w:ascii="Times New Roman" w:hAnsi="Times New Roman" w:cs="Times New Roman"/>
          <w:sz w:val="20"/>
          <w:szCs w:val="20"/>
        </w:rPr>
        <w:t xml:space="preserve">Participants were considered to be ‘‘frail’’ if they had three or more frailty components among the five criteria; they were considered ‘‘pre-frail’’ if they fulfilled one or two frailty criteria, and ‘‘non-frail’’ if none. </w:t>
      </w:r>
    </w:p>
    <w:p w:rsidR="00C023B7" w:rsidRPr="00DE22D0" w:rsidRDefault="00C023B7" w:rsidP="00DE22D0">
      <w:pPr>
        <w:tabs>
          <w:tab w:val="left" w:pos="4378"/>
        </w:tabs>
        <w:spacing w:after="0" w:line="240" w:lineRule="auto"/>
        <w:jc w:val="both"/>
        <w:rPr>
          <w:rFonts w:ascii="Times New Roman" w:hAnsi="Times New Roman" w:cs="Times New Roman"/>
          <w:sz w:val="20"/>
          <w:szCs w:val="20"/>
        </w:rPr>
      </w:pPr>
    </w:p>
    <w:p w:rsidR="00C023B7" w:rsidRPr="00DE22D0" w:rsidRDefault="00C023B7" w:rsidP="00DE22D0">
      <w:pPr>
        <w:pStyle w:val="ListParagraph"/>
        <w:numPr>
          <w:ilvl w:val="0"/>
          <w:numId w:val="6"/>
        </w:numPr>
        <w:tabs>
          <w:tab w:val="left" w:pos="4378"/>
        </w:tabs>
        <w:spacing w:after="0" w:line="240" w:lineRule="auto"/>
        <w:jc w:val="both"/>
        <w:rPr>
          <w:rFonts w:ascii="Times New Roman" w:hAnsi="Times New Roman" w:cs="Times New Roman"/>
          <w:b/>
          <w:bCs/>
          <w:sz w:val="20"/>
          <w:szCs w:val="20"/>
        </w:rPr>
      </w:pPr>
      <w:r w:rsidRPr="00DE22D0">
        <w:rPr>
          <w:rFonts w:ascii="Times New Roman" w:hAnsi="Times New Roman" w:cs="Times New Roman"/>
          <w:b/>
          <w:bCs/>
          <w:sz w:val="20"/>
          <w:szCs w:val="20"/>
        </w:rPr>
        <w:t>Abdominal Ultrasound:</w:t>
      </w:r>
      <w:r w:rsidRPr="00DE22D0">
        <w:rPr>
          <w:rFonts w:ascii="Times New Roman" w:hAnsi="Times New Roman" w:cs="Times New Roman"/>
          <w:bCs/>
          <w:sz w:val="20"/>
          <w:szCs w:val="20"/>
        </w:rPr>
        <w:t xml:space="preserve">All participants were examined in the supine position and/or in the left decubitus position when necessary. Fasting instructions were given to the participants prior to the examination. The examination was carried out with </w:t>
      </w:r>
      <w:r w:rsidRPr="00DE22D0">
        <w:rPr>
          <w:rFonts w:ascii="Times New Roman" w:hAnsi="Times New Roman" w:cs="Times New Roman"/>
          <w:sz w:val="20"/>
          <w:szCs w:val="20"/>
        </w:rPr>
        <w:t>the aid of an Alpinion-Korae- E-CUBE-9 ultrasound unit equipped with a 3.5-MHz transducer</w:t>
      </w:r>
      <w:r w:rsidRPr="00DE22D0">
        <w:rPr>
          <w:rFonts w:ascii="Times New Roman" w:hAnsi="Times New Roman" w:cs="Times New Roman"/>
          <w:bCs/>
          <w:sz w:val="20"/>
          <w:szCs w:val="20"/>
        </w:rPr>
        <w:t>. The abdominal aorta was examined in the axial plane with scans perpendicular to the longitudinal plane. Aortic diameters were measured at the renal level.  The maximum diameter of the aorta was measured from leading edge to leading edge. A maximum antero-posterior or transverse diameter ≥ 3 cm was considered a diagnostic criterion for Abdominal Aortic Aneurysm (AAA).</w:t>
      </w:r>
    </w:p>
    <w:p w:rsidR="00C023B7" w:rsidRPr="00DE22D0" w:rsidRDefault="00C023B7" w:rsidP="00DE22D0">
      <w:pPr>
        <w:pStyle w:val="ListParagraph"/>
        <w:tabs>
          <w:tab w:val="left" w:pos="4378"/>
        </w:tabs>
        <w:spacing w:after="0" w:line="240" w:lineRule="auto"/>
        <w:jc w:val="both"/>
        <w:rPr>
          <w:rFonts w:ascii="Times New Roman" w:hAnsi="Times New Roman" w:cs="Times New Roman"/>
          <w:b/>
          <w:bCs/>
          <w:sz w:val="20"/>
          <w:szCs w:val="20"/>
        </w:rPr>
      </w:pPr>
    </w:p>
    <w:p w:rsidR="00C023B7" w:rsidRPr="00DE22D0" w:rsidRDefault="00C023B7" w:rsidP="00DE22D0">
      <w:pPr>
        <w:pStyle w:val="ListParagraph"/>
        <w:numPr>
          <w:ilvl w:val="0"/>
          <w:numId w:val="6"/>
        </w:numPr>
        <w:tabs>
          <w:tab w:val="left" w:pos="4378"/>
        </w:tabs>
        <w:spacing w:after="0" w:line="240" w:lineRule="auto"/>
        <w:jc w:val="both"/>
        <w:rPr>
          <w:rFonts w:ascii="Times New Roman" w:hAnsi="Times New Roman" w:cs="Times New Roman"/>
          <w:sz w:val="20"/>
          <w:szCs w:val="20"/>
        </w:rPr>
      </w:pPr>
      <w:r w:rsidRPr="00DE22D0">
        <w:rPr>
          <w:rFonts w:ascii="Times New Roman" w:hAnsi="Times New Roman" w:cs="Times New Roman"/>
          <w:b/>
          <w:bCs/>
          <w:sz w:val="20"/>
          <w:szCs w:val="20"/>
        </w:rPr>
        <w:t>Carotid duplex:</w:t>
      </w:r>
      <w:r w:rsidRPr="00DE22D0">
        <w:rPr>
          <w:rFonts w:ascii="Times New Roman" w:hAnsi="Times New Roman" w:cs="Times New Roman"/>
          <w:bCs/>
          <w:sz w:val="20"/>
          <w:szCs w:val="20"/>
        </w:rPr>
        <w:t>For measurement of CIMT,all subjects were examined in the supine position with the neck extended and the head tilted slightly towards the opposite of the examined side. Both left and right common carotid arteries were depicted.Examinations were performed with the aid of an Alpinion-Korae- E-CUBE-9 ultrasound unit equipped with a 7.5-MHz transducer</w:t>
      </w:r>
      <w:r w:rsidRPr="00DE22D0">
        <w:rPr>
          <w:rFonts w:ascii="Times New Roman" w:hAnsi="Times New Roman" w:cs="Times New Roman"/>
          <w:b/>
          <w:bCs/>
          <w:sz w:val="20"/>
          <w:szCs w:val="20"/>
        </w:rPr>
        <w:t>.</w:t>
      </w:r>
      <w:r w:rsidRPr="00DE22D0">
        <w:rPr>
          <w:rFonts w:ascii="Times New Roman" w:hAnsi="Times New Roman" w:cs="Times New Roman"/>
          <w:sz w:val="20"/>
          <w:szCs w:val="20"/>
        </w:rPr>
        <w:t xml:space="preserve"> The CIMT was measured which </w:t>
      </w:r>
      <w:r w:rsidRPr="00DE22D0">
        <w:rPr>
          <w:rFonts w:ascii="Times New Roman" w:hAnsi="Times New Roman" w:cs="Times New Roman"/>
          <w:bCs/>
          <w:sz w:val="20"/>
          <w:szCs w:val="20"/>
        </w:rPr>
        <w:t xml:space="preserve">is the blood–intima to media–adventitia interfaces width, normal intima media thickness is usually less than </w:t>
      </w:r>
      <w:r w:rsidRPr="00DE22D0">
        <w:rPr>
          <w:rFonts w:ascii="Times New Roman" w:hAnsi="Times New Roman" w:cs="Times New Roman"/>
          <w:sz w:val="20"/>
          <w:szCs w:val="20"/>
        </w:rPr>
        <w:t>0.8mm</w:t>
      </w:r>
      <w:r w:rsidRPr="00DE22D0">
        <w:rPr>
          <w:rFonts w:ascii="Times New Roman" w:hAnsi="Times New Roman" w:cs="Times New Roman"/>
          <w:b/>
          <w:bCs/>
          <w:sz w:val="20"/>
          <w:szCs w:val="20"/>
          <w:vertAlign w:val="superscript"/>
        </w:rPr>
        <w:t>(26)</w:t>
      </w:r>
      <w:r w:rsidRPr="00DE22D0">
        <w:rPr>
          <w:rFonts w:ascii="Times New Roman" w:hAnsi="Times New Roman" w:cs="Times New Roman"/>
          <w:sz w:val="20"/>
          <w:szCs w:val="20"/>
        </w:rPr>
        <w:t>.</w:t>
      </w:r>
    </w:p>
    <w:p w:rsidR="00C023B7" w:rsidRPr="00DE22D0" w:rsidRDefault="00C023B7" w:rsidP="00DE22D0">
      <w:pPr>
        <w:pStyle w:val="ListParagraph"/>
        <w:spacing w:after="0" w:line="240" w:lineRule="auto"/>
        <w:rPr>
          <w:rFonts w:ascii="Times New Roman" w:hAnsi="Times New Roman" w:cs="Times New Roman"/>
          <w:sz w:val="20"/>
          <w:szCs w:val="20"/>
        </w:rPr>
      </w:pPr>
    </w:p>
    <w:p w:rsidR="00C023B7" w:rsidRPr="00DE22D0" w:rsidRDefault="00C023B7" w:rsidP="00DE22D0">
      <w:pPr>
        <w:pStyle w:val="ListParagraph"/>
        <w:tabs>
          <w:tab w:val="left" w:pos="4378"/>
        </w:tabs>
        <w:spacing w:after="0" w:line="240" w:lineRule="auto"/>
        <w:jc w:val="both"/>
        <w:rPr>
          <w:rFonts w:ascii="Times New Roman" w:hAnsi="Times New Roman" w:cs="Times New Roman"/>
          <w:sz w:val="20"/>
          <w:szCs w:val="20"/>
        </w:rPr>
      </w:pPr>
    </w:p>
    <w:p w:rsidR="00C023B7" w:rsidRPr="00DE22D0" w:rsidRDefault="00C023B7" w:rsidP="00DE22D0">
      <w:pPr>
        <w:pStyle w:val="ListParagraph"/>
        <w:numPr>
          <w:ilvl w:val="0"/>
          <w:numId w:val="6"/>
        </w:numPr>
        <w:tabs>
          <w:tab w:val="left" w:pos="4378"/>
        </w:tabs>
        <w:spacing w:after="0" w:line="240" w:lineRule="auto"/>
        <w:jc w:val="both"/>
        <w:rPr>
          <w:rFonts w:ascii="Times New Roman" w:hAnsi="Times New Roman" w:cs="Times New Roman"/>
          <w:b/>
          <w:bCs/>
          <w:sz w:val="20"/>
          <w:szCs w:val="20"/>
        </w:rPr>
      </w:pPr>
      <w:r w:rsidRPr="00DE22D0">
        <w:rPr>
          <w:rFonts w:ascii="Times New Roman" w:hAnsi="Times New Roman" w:cs="Times New Roman"/>
          <w:b/>
          <w:bCs/>
          <w:sz w:val="20"/>
          <w:szCs w:val="20"/>
        </w:rPr>
        <w:t>Ankle-brachial index:</w:t>
      </w:r>
      <w:r w:rsidRPr="00DE22D0">
        <w:rPr>
          <w:rFonts w:ascii="Times New Roman" w:hAnsi="Times New Roman" w:cs="Times New Roman"/>
          <w:sz w:val="20"/>
          <w:szCs w:val="20"/>
        </w:rPr>
        <w:t>The ABI is the ratio of systolic blood pressure measured at the ankle to systolic blood pressure at the brachial artery. A pneumatic cuff placed around the ankle is inflated to 20 to 30 mmHg above systolic pressure and subsequently deflated at 2 mmHg interval while the onset of flow is detected with a Doppler probe placed over the dorsalispedis and/or posterior tibial arteries. Thus denoting ankle systolic blood pressure. Brachial artery systolic pressure can be assessed in routine manner by using a stethoscope to listen for the first korotkoffsound</w:t>
      </w:r>
      <w:r w:rsidRPr="00DE22D0">
        <w:rPr>
          <w:rFonts w:ascii="Times New Roman" w:hAnsi="Times New Roman" w:cs="Times New Roman"/>
          <w:b/>
          <w:bCs/>
          <w:sz w:val="20"/>
          <w:szCs w:val="20"/>
          <w:vertAlign w:val="superscript"/>
        </w:rPr>
        <w:t>(27)</w:t>
      </w:r>
      <w:r w:rsidRPr="00DE22D0">
        <w:rPr>
          <w:rFonts w:ascii="Times New Roman" w:hAnsi="Times New Roman" w:cs="Times New Roman"/>
          <w:sz w:val="20"/>
          <w:szCs w:val="20"/>
        </w:rPr>
        <w:t>.</w:t>
      </w:r>
    </w:p>
    <w:p w:rsidR="00C023B7" w:rsidRPr="00DE22D0" w:rsidRDefault="00C023B7" w:rsidP="00DE22D0">
      <w:pPr>
        <w:tabs>
          <w:tab w:val="left" w:pos="5414"/>
        </w:tabs>
        <w:spacing w:after="0" w:line="240" w:lineRule="auto"/>
        <w:jc w:val="both"/>
        <w:rPr>
          <w:rFonts w:ascii="Times New Roman" w:hAnsi="Times New Roman" w:cs="Times New Roman"/>
          <w:b/>
          <w:bCs/>
          <w:sz w:val="20"/>
          <w:szCs w:val="20"/>
        </w:rPr>
      </w:pPr>
    </w:p>
    <w:p w:rsidR="00C023B7" w:rsidRPr="00DE22D0" w:rsidRDefault="00C023B7" w:rsidP="00DE22D0">
      <w:pPr>
        <w:tabs>
          <w:tab w:val="left" w:pos="5414"/>
        </w:tabs>
        <w:spacing w:after="0" w:line="240" w:lineRule="auto"/>
        <w:jc w:val="both"/>
        <w:rPr>
          <w:rFonts w:ascii="Times New Roman" w:hAnsi="Times New Roman" w:cs="Times New Roman"/>
          <w:b/>
          <w:bCs/>
          <w:sz w:val="20"/>
          <w:szCs w:val="20"/>
        </w:rPr>
      </w:pPr>
      <w:r w:rsidRPr="00DE22D0">
        <w:rPr>
          <w:rFonts w:ascii="Times New Roman" w:hAnsi="Times New Roman" w:cs="Times New Roman"/>
          <w:b/>
          <w:bCs/>
          <w:sz w:val="20"/>
          <w:szCs w:val="20"/>
        </w:rPr>
        <w:t>Statistical analysis</w:t>
      </w:r>
      <w:r w:rsidRPr="00DE22D0">
        <w:rPr>
          <w:rFonts w:ascii="Times New Roman" w:hAnsi="Times New Roman" w:cs="Times New Roman"/>
          <w:b/>
          <w:bCs/>
          <w:sz w:val="20"/>
          <w:szCs w:val="20"/>
        </w:rPr>
        <w:tab/>
      </w:r>
    </w:p>
    <w:p w:rsidR="00C023B7" w:rsidRPr="00DE22D0" w:rsidRDefault="00C023B7" w:rsidP="00DE22D0">
      <w:pPr>
        <w:autoSpaceDE w:val="0"/>
        <w:autoSpaceDN w:val="0"/>
        <w:adjustRightInd w:val="0"/>
        <w:spacing w:after="0" w:line="240" w:lineRule="auto"/>
        <w:jc w:val="both"/>
        <w:rPr>
          <w:rFonts w:ascii="Times New Roman" w:hAnsi="Times New Roman" w:cs="Times New Roman"/>
          <w:sz w:val="20"/>
          <w:szCs w:val="20"/>
        </w:rPr>
      </w:pPr>
      <w:r w:rsidRPr="00DE22D0">
        <w:rPr>
          <w:rFonts w:ascii="Times New Roman" w:hAnsi="Times New Roman" w:cs="Times New Roman"/>
          <w:sz w:val="20"/>
          <w:szCs w:val="20"/>
        </w:rPr>
        <w:t>Analysis of data was performed by using the 22</w:t>
      </w:r>
      <w:r w:rsidRPr="00DE22D0">
        <w:rPr>
          <w:rFonts w:ascii="Times New Roman" w:hAnsi="Times New Roman" w:cs="Times New Roman"/>
          <w:sz w:val="20"/>
          <w:szCs w:val="20"/>
          <w:vertAlign w:val="superscript"/>
        </w:rPr>
        <w:t>th</w:t>
      </w:r>
      <w:r w:rsidRPr="00DE22D0">
        <w:rPr>
          <w:rFonts w:ascii="Times New Roman" w:hAnsi="Times New Roman" w:cs="Times New Roman"/>
          <w:sz w:val="20"/>
          <w:szCs w:val="20"/>
        </w:rPr>
        <w:t xml:space="preserve"> version of Statistical Package of Social Science (SPSS). Description of all data in the form of mean (M) and standard deviation (SD) for all quantitative variables.Frequency and percentage for all qualitative variables. Correlation coefficient was also used to find linear relation between different variables using Pearson correlation co-efficient. Comparison between quantitative variables was done using t-test to compare two groups and ANOVA (analysis of variance) to compare more than two groups; Tukey’s HSD (Honest Significant Difference) test is used in ANOVA to create confidence intervals for all pairwise differences.Comparison of qualitative variables was done using the Chi-square test.Significant level measured according to P value (Probability), P&gt; 0.05 insignificant, P &lt; 0.05 significant and P&lt;0.01 highly significant.</w:t>
      </w:r>
    </w:p>
    <w:p w:rsidR="00C023B7" w:rsidRPr="00DE22D0" w:rsidRDefault="00C023B7" w:rsidP="00DE22D0">
      <w:pPr>
        <w:tabs>
          <w:tab w:val="left" w:pos="4378"/>
        </w:tabs>
        <w:spacing w:after="0" w:line="240" w:lineRule="auto"/>
        <w:contextualSpacing/>
        <w:jc w:val="both"/>
        <w:rPr>
          <w:rFonts w:ascii="Times New Roman" w:hAnsi="Times New Roman" w:cs="Times New Roman"/>
          <w:b/>
          <w:bCs/>
          <w:sz w:val="24"/>
          <w:szCs w:val="24"/>
        </w:rPr>
      </w:pPr>
    </w:p>
    <w:p w:rsidR="00C023B7" w:rsidRPr="00DE22D0" w:rsidRDefault="00C023B7" w:rsidP="00DE22D0">
      <w:pPr>
        <w:tabs>
          <w:tab w:val="left" w:pos="4378"/>
        </w:tabs>
        <w:spacing w:after="0" w:line="240" w:lineRule="auto"/>
        <w:contextualSpacing/>
        <w:jc w:val="both"/>
        <w:rPr>
          <w:rFonts w:ascii="Times New Roman" w:hAnsi="Times New Roman" w:cs="Times New Roman"/>
          <w:b/>
          <w:bCs/>
          <w:sz w:val="24"/>
          <w:szCs w:val="24"/>
        </w:rPr>
      </w:pPr>
      <w:r w:rsidRPr="00DE22D0">
        <w:rPr>
          <w:rFonts w:ascii="Times New Roman" w:hAnsi="Times New Roman" w:cs="Times New Roman"/>
          <w:b/>
          <w:bCs/>
          <w:sz w:val="24"/>
          <w:szCs w:val="24"/>
        </w:rPr>
        <w:t>Results</w:t>
      </w:r>
    </w:p>
    <w:p w:rsidR="00C023B7" w:rsidRPr="00DE22D0" w:rsidRDefault="00C023B7" w:rsidP="00DE22D0">
      <w:pPr>
        <w:autoSpaceDE w:val="0"/>
        <w:autoSpaceDN w:val="0"/>
        <w:adjustRightInd w:val="0"/>
        <w:spacing w:after="0" w:line="240" w:lineRule="auto"/>
        <w:jc w:val="both"/>
        <w:rPr>
          <w:rFonts w:ascii="Times New Roman" w:hAnsi="Times New Roman" w:cs="Times New Roman"/>
          <w:sz w:val="20"/>
          <w:szCs w:val="20"/>
        </w:rPr>
      </w:pPr>
      <w:r w:rsidRPr="00DE22D0">
        <w:rPr>
          <w:rFonts w:ascii="Times New Roman" w:hAnsi="Times New Roman" w:cs="Times New Roman"/>
          <w:sz w:val="20"/>
          <w:szCs w:val="20"/>
        </w:rPr>
        <w:t>Thestudy included90 elderly subjects 60 years old or more, both males and females. Who were categorized into 3 groups according to Fried criteria of frailty; non-frail group contributed 24 (26.67%) subjects, pre-frail group comprised 20 (22.22%) subjects and frail group included 46 (51.11%) patients</w:t>
      </w:r>
      <w:r w:rsidRPr="00DE22D0">
        <w:rPr>
          <w:rFonts w:ascii="Times New Roman" w:hAnsi="Times New Roman" w:cs="Times New Roman"/>
          <w:b/>
          <w:bCs/>
          <w:sz w:val="20"/>
          <w:szCs w:val="20"/>
        </w:rPr>
        <w:t>(Fig. 1)</w:t>
      </w:r>
      <w:r w:rsidRPr="00DE22D0">
        <w:rPr>
          <w:rFonts w:ascii="Times New Roman" w:hAnsi="Times New Roman" w:cs="Times New Roman"/>
          <w:sz w:val="20"/>
          <w:szCs w:val="20"/>
        </w:rPr>
        <w:t>. Of which, 65 subjects were recruited from inpatient wards and 25 subjects were recruited from outpatient clinics atAin Shams University hospital. The mean age of the studied population was 67.3±7.4 years, 66.67% were males, 33.33% were females, and 72.22% of our participants were married. The majority of our participants were living with their families (88.89%), and were illiterate (61.11%). As regards special habits, 36.67% were smokers and 20 % were ex-smokers</w:t>
      </w:r>
      <w:r w:rsidRPr="00DE22D0">
        <w:rPr>
          <w:rFonts w:ascii="Times New Roman" w:hAnsi="Times New Roman" w:cs="Times New Roman"/>
          <w:b/>
          <w:bCs/>
          <w:sz w:val="20"/>
          <w:szCs w:val="20"/>
        </w:rPr>
        <w:t>(Table 1)</w:t>
      </w:r>
      <w:r w:rsidRPr="00DE22D0">
        <w:rPr>
          <w:rFonts w:ascii="Times New Roman" w:hAnsi="Times New Roman" w:cs="Times New Roman"/>
          <w:sz w:val="20"/>
          <w:szCs w:val="20"/>
        </w:rPr>
        <w:t>.</w:t>
      </w:r>
    </w:p>
    <w:p w:rsidR="00C023B7" w:rsidRPr="00DE22D0" w:rsidRDefault="00C023B7" w:rsidP="00DE22D0">
      <w:pPr>
        <w:autoSpaceDE w:val="0"/>
        <w:autoSpaceDN w:val="0"/>
        <w:adjustRightInd w:val="0"/>
        <w:spacing w:after="0" w:line="240" w:lineRule="auto"/>
        <w:jc w:val="both"/>
        <w:rPr>
          <w:rFonts w:ascii="Times New Roman" w:hAnsi="Times New Roman" w:cs="Times New Roman"/>
          <w:sz w:val="20"/>
          <w:szCs w:val="20"/>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sz w:val="20"/>
          <w:szCs w:val="20"/>
        </w:rPr>
      </w:pPr>
      <w:r w:rsidRPr="00DE22D0">
        <w:rPr>
          <w:rFonts w:ascii="Times New Roman" w:hAnsi="Times New Roman" w:cs="Times New Roman"/>
          <w:sz w:val="20"/>
          <w:szCs w:val="20"/>
        </w:rPr>
        <w:t>Regarding clinical characteristics;frail and pre-frail participants had higher percentage of ADL &amp; IADL affection than non-frail group (p value &lt;0.001) andhad lower MMSE scores compared to non-frail group (p value &lt;0.001)</w:t>
      </w:r>
      <w:r w:rsidRPr="00DE22D0">
        <w:rPr>
          <w:rFonts w:ascii="Times New Roman" w:hAnsi="Times New Roman" w:cs="Times New Roman"/>
        </w:rPr>
        <w:t xml:space="preserve">. </w:t>
      </w:r>
      <w:r w:rsidRPr="00DE22D0">
        <w:rPr>
          <w:rFonts w:ascii="Times New Roman" w:hAnsi="Times New Roman" w:cs="Times New Roman"/>
          <w:sz w:val="20"/>
          <w:szCs w:val="20"/>
        </w:rPr>
        <w:t xml:space="preserve">Frail participants were also more depressed (p value= 0.001) and more commonly malnourished or at risk of malnutrition (p value &lt;0.001) compared to pre-frail and non-frail groups. Frail participants had lower BMI values compared to non-frail group (p value= 0.040). </w:t>
      </w:r>
    </w:p>
    <w:p w:rsidR="00C023B7" w:rsidRPr="00DE22D0" w:rsidRDefault="00C023B7" w:rsidP="00DE22D0">
      <w:pPr>
        <w:autoSpaceDE w:val="0"/>
        <w:autoSpaceDN w:val="0"/>
        <w:adjustRightInd w:val="0"/>
        <w:spacing w:after="0" w:line="240" w:lineRule="auto"/>
        <w:jc w:val="both"/>
        <w:rPr>
          <w:rFonts w:ascii="Times New Roman" w:hAnsi="Times New Roman" w:cs="Times New Roman"/>
          <w:b/>
          <w:bCs/>
          <w:sz w:val="20"/>
          <w:szCs w:val="20"/>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sz w:val="20"/>
          <w:szCs w:val="20"/>
        </w:rPr>
      </w:pPr>
      <w:r w:rsidRPr="00DE22D0">
        <w:rPr>
          <w:rFonts w:ascii="Times New Roman" w:hAnsi="Times New Roman" w:cs="Times New Roman"/>
          <w:sz w:val="20"/>
          <w:szCs w:val="20"/>
        </w:rPr>
        <w:t>The mean age of the frail group was 69.9±8.8 years; which was higher than that of pre-frail and non-frail groups (64.5±4.2 and 64.5±4.1 years respectively) and this difference was statistically significant (p value = 0.002).There was highly significant difference between the study groups as regards education as illiteracy was higher among frail group compared to pre-frail and non-frail groups (p value &lt; 0.001).There was no significant difference between study groups regarding gender, marital status, living arrangement or smoking habit</w:t>
      </w:r>
      <w:r w:rsidRPr="00DE22D0">
        <w:rPr>
          <w:rFonts w:ascii="Times New Roman" w:hAnsi="Times New Roman" w:cs="Times New Roman"/>
          <w:b/>
          <w:bCs/>
          <w:sz w:val="20"/>
          <w:szCs w:val="20"/>
        </w:rPr>
        <w:t>(Table 1)</w:t>
      </w:r>
      <w:r w:rsidRPr="00DE22D0">
        <w:rPr>
          <w:rFonts w:ascii="Times New Roman" w:hAnsi="Times New Roman" w:cs="Times New Roman"/>
          <w:sz w:val="20"/>
          <w:szCs w:val="20"/>
        </w:rPr>
        <w:t>.</w:t>
      </w:r>
    </w:p>
    <w:p w:rsidR="00C023B7" w:rsidRPr="00DE22D0" w:rsidRDefault="00C023B7" w:rsidP="00DE22D0">
      <w:pPr>
        <w:autoSpaceDE w:val="0"/>
        <w:autoSpaceDN w:val="0"/>
        <w:adjustRightInd w:val="0"/>
        <w:spacing w:after="0" w:line="240" w:lineRule="auto"/>
        <w:jc w:val="both"/>
        <w:rPr>
          <w:rFonts w:ascii="Times New Roman" w:hAnsi="Times New Roman" w:cs="Times New Roman"/>
          <w:sz w:val="20"/>
          <w:szCs w:val="20"/>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sz w:val="20"/>
          <w:szCs w:val="20"/>
        </w:rPr>
      </w:pPr>
      <w:r w:rsidRPr="00DE22D0">
        <w:rPr>
          <w:rFonts w:ascii="Times New Roman" w:hAnsi="Times New Roman" w:cs="Times New Roman"/>
          <w:sz w:val="20"/>
          <w:szCs w:val="20"/>
        </w:rPr>
        <w:t>Our study showed that frail participants had lower mean ankle-brachial index value than non-frail group(p value= 0.002). Frail and pre-frail participants had higher maximum carotid intima media thickness (CIMT) values than non-frail group (p value &lt;0.001). While there is no significant difference between the study groups as regards mean abdominal aortic diameter</w:t>
      </w:r>
      <w:r w:rsidRPr="00DE22D0">
        <w:rPr>
          <w:rFonts w:ascii="Times New Roman" w:hAnsi="Times New Roman" w:cs="Times New Roman"/>
          <w:b/>
          <w:bCs/>
          <w:sz w:val="20"/>
          <w:szCs w:val="20"/>
        </w:rPr>
        <w:t>(Table 2)</w:t>
      </w:r>
      <w:r w:rsidRPr="00DE22D0">
        <w:rPr>
          <w:rFonts w:ascii="Times New Roman" w:hAnsi="Times New Roman" w:cs="Times New Roman"/>
          <w:sz w:val="20"/>
          <w:szCs w:val="20"/>
        </w:rPr>
        <w:t>.</w:t>
      </w:r>
    </w:p>
    <w:p w:rsidR="00C023B7" w:rsidRPr="00DE22D0" w:rsidRDefault="00C023B7" w:rsidP="00DE22D0">
      <w:pPr>
        <w:autoSpaceDE w:val="0"/>
        <w:autoSpaceDN w:val="0"/>
        <w:adjustRightInd w:val="0"/>
        <w:spacing w:after="0" w:line="240" w:lineRule="auto"/>
        <w:jc w:val="both"/>
        <w:rPr>
          <w:rFonts w:ascii="Times New Roman" w:hAnsi="Times New Roman" w:cs="Times New Roman"/>
          <w:sz w:val="20"/>
          <w:szCs w:val="20"/>
        </w:rPr>
      </w:pPr>
    </w:p>
    <w:p w:rsidR="00C023B7" w:rsidRPr="00DE22D0" w:rsidRDefault="00C023B7" w:rsidP="00DE22D0">
      <w:pPr>
        <w:spacing w:after="0" w:line="240" w:lineRule="auto"/>
        <w:rPr>
          <w:rFonts w:ascii="Times New Roman" w:hAnsi="Times New Roman" w:cs="Times New Roman"/>
          <w:b/>
          <w:bCs/>
        </w:rPr>
      </w:pPr>
      <w:r w:rsidRPr="00DE22D0">
        <w:rPr>
          <w:rFonts w:ascii="Times New Roman" w:hAnsi="Times New Roman" w:cs="Times New Roman"/>
          <w:b/>
          <w:bCs/>
        </w:rPr>
        <w:br w:type="page"/>
      </w:r>
    </w:p>
    <w:p w:rsidR="00C023B7" w:rsidRPr="00DE22D0" w:rsidRDefault="00C023B7" w:rsidP="00DE22D0">
      <w:pPr>
        <w:autoSpaceDE w:val="0"/>
        <w:autoSpaceDN w:val="0"/>
        <w:adjustRightInd w:val="0"/>
        <w:spacing w:after="0" w:line="240" w:lineRule="auto"/>
        <w:rPr>
          <w:rFonts w:ascii="Times New Roman" w:hAnsi="Times New Roman" w:cs="Times New Roman"/>
          <w:b/>
          <w:bCs/>
        </w:rPr>
      </w:pPr>
    </w:p>
    <w:p w:rsidR="00C023B7" w:rsidRPr="00DE22D0" w:rsidRDefault="00C023B7" w:rsidP="00DE22D0">
      <w:pPr>
        <w:autoSpaceDE w:val="0"/>
        <w:autoSpaceDN w:val="0"/>
        <w:adjustRightInd w:val="0"/>
        <w:spacing w:after="0" w:line="240" w:lineRule="auto"/>
        <w:jc w:val="center"/>
        <w:rPr>
          <w:rFonts w:ascii="Times New Roman" w:hAnsi="Times New Roman" w:cs="Times New Roman"/>
          <w:b/>
          <w:bCs/>
        </w:rPr>
      </w:pPr>
      <w:r w:rsidRPr="00DE22D0">
        <w:rPr>
          <w:rFonts w:ascii="Times New Roman" w:eastAsia="Times New Roman" w:hAnsi="Times New Roman" w:cs="Times New Roman"/>
          <w:noProof/>
          <w:sz w:val="24"/>
          <w:szCs w:val="24"/>
        </w:rPr>
        <w:drawing>
          <wp:inline distT="0" distB="0" distL="0" distR="0">
            <wp:extent cx="4142096" cy="2856389"/>
            <wp:effectExtent l="38100" t="38100" r="87630" b="96520"/>
            <wp:docPr id="19" name="كائن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023B7" w:rsidRPr="00DE22D0" w:rsidRDefault="00C023B7" w:rsidP="00DE22D0">
      <w:pPr>
        <w:autoSpaceDE w:val="0"/>
        <w:autoSpaceDN w:val="0"/>
        <w:adjustRightInd w:val="0"/>
        <w:spacing w:after="0" w:line="240" w:lineRule="auto"/>
        <w:jc w:val="center"/>
        <w:rPr>
          <w:rFonts w:ascii="Times New Roman" w:hAnsi="Times New Roman" w:cs="Times New Roman"/>
          <w:b/>
          <w:bCs/>
          <w:i/>
          <w:iCs/>
          <w:sz w:val="18"/>
          <w:szCs w:val="18"/>
        </w:rPr>
      </w:pPr>
      <w:r w:rsidRPr="00DE22D0">
        <w:rPr>
          <w:rFonts w:ascii="Times New Roman" w:hAnsi="Times New Roman" w:cs="Times New Roman"/>
          <w:b/>
          <w:bCs/>
          <w:i/>
          <w:iCs/>
          <w:sz w:val="18"/>
          <w:szCs w:val="18"/>
        </w:rPr>
        <w:t>Figure (1): Prevalence of frailty and pre-frailty among study group</w:t>
      </w:r>
    </w:p>
    <w:p w:rsidR="00C023B7" w:rsidRPr="00DE22D0" w:rsidRDefault="00C023B7" w:rsidP="00DE22D0">
      <w:pPr>
        <w:autoSpaceDE w:val="0"/>
        <w:autoSpaceDN w:val="0"/>
        <w:adjustRightInd w:val="0"/>
        <w:spacing w:after="0" w:line="240" w:lineRule="auto"/>
        <w:rPr>
          <w:rFonts w:ascii="Times New Roman" w:hAnsi="Times New Roman" w:cs="Times New Roman"/>
          <w:b/>
          <w:bCs/>
        </w:rPr>
      </w:pPr>
    </w:p>
    <w:p w:rsidR="00C023B7" w:rsidRPr="00DE22D0" w:rsidRDefault="00C023B7" w:rsidP="00DE22D0">
      <w:pPr>
        <w:autoSpaceDE w:val="0"/>
        <w:autoSpaceDN w:val="0"/>
        <w:adjustRightInd w:val="0"/>
        <w:spacing w:after="0" w:line="240" w:lineRule="auto"/>
        <w:jc w:val="center"/>
        <w:rPr>
          <w:rFonts w:ascii="Times New Roman" w:hAnsi="Times New Roman" w:cs="Times New Roman"/>
          <w:b/>
          <w:i/>
          <w:iCs/>
          <w:sz w:val="18"/>
          <w:szCs w:val="18"/>
        </w:rPr>
      </w:pPr>
      <w:r w:rsidRPr="00DE22D0">
        <w:rPr>
          <w:rFonts w:ascii="Times New Roman" w:hAnsi="Times New Roman" w:cs="Times New Roman"/>
          <w:b/>
          <w:i/>
          <w:iCs/>
          <w:sz w:val="18"/>
          <w:szCs w:val="18"/>
        </w:rPr>
        <w:t>Table (1):Comparison between study groups regarding socio-demographic characteristics:</w:t>
      </w:r>
    </w:p>
    <w:tbl>
      <w:tblPr>
        <w:tblW w:w="4355" w:type="pct"/>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048"/>
        <w:gridCol w:w="970"/>
        <w:gridCol w:w="485"/>
        <w:gridCol w:w="616"/>
        <w:gridCol w:w="485"/>
        <w:gridCol w:w="616"/>
        <w:gridCol w:w="509"/>
        <w:gridCol w:w="592"/>
        <w:gridCol w:w="551"/>
        <w:gridCol w:w="551"/>
        <w:gridCol w:w="572"/>
        <w:gridCol w:w="585"/>
        <w:gridCol w:w="641"/>
        <w:gridCol w:w="585"/>
        <w:gridCol w:w="610"/>
      </w:tblGrid>
      <w:tr w:rsidR="00DE22D0" w:rsidRPr="00DE22D0" w:rsidTr="00DE22D0">
        <w:trPr>
          <w:trHeight w:val="26"/>
        </w:trPr>
        <w:tc>
          <w:tcPr>
            <w:tcW w:w="1072" w:type="pct"/>
            <w:gridSpan w:val="2"/>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lang w:bidi="ar-EG"/>
              </w:rPr>
            </w:pPr>
          </w:p>
        </w:tc>
        <w:tc>
          <w:tcPr>
            <w:tcW w:w="585" w:type="pct"/>
            <w:gridSpan w:val="2"/>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Non-frail</w:t>
            </w:r>
          </w:p>
        </w:tc>
        <w:tc>
          <w:tcPr>
            <w:tcW w:w="585" w:type="pct"/>
            <w:gridSpan w:val="2"/>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Pre-frail</w:t>
            </w:r>
          </w:p>
        </w:tc>
        <w:tc>
          <w:tcPr>
            <w:tcW w:w="585" w:type="pct"/>
            <w:gridSpan w:val="2"/>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Frail</w:t>
            </w:r>
          </w:p>
        </w:tc>
        <w:tc>
          <w:tcPr>
            <w:tcW w:w="585" w:type="pct"/>
            <w:gridSpan w:val="2"/>
            <w:vMerge w:val="restart"/>
          </w:tcPr>
          <w:p w:rsidR="00C023B7" w:rsidRPr="00DE22D0" w:rsidRDefault="00C023B7" w:rsidP="00DE22D0">
            <w:pPr>
              <w:spacing w:after="0" w:line="240" w:lineRule="auto"/>
              <w:jc w:val="center"/>
              <w:rPr>
                <w:rFonts w:ascii="Times New Roman" w:eastAsia="Times New Roman" w:hAnsi="Times New Roman" w:cs="Times New Roman"/>
                <w:sz w:val="20"/>
                <w:szCs w:val="20"/>
                <w:lang w:bidi="ar-EG"/>
              </w:rPr>
            </w:pPr>
          </w:p>
          <w:p w:rsidR="00C023B7" w:rsidRPr="00DE22D0" w:rsidRDefault="00C023B7" w:rsidP="00DE22D0">
            <w:pPr>
              <w:spacing w:after="0" w:line="240" w:lineRule="auto"/>
              <w:jc w:val="center"/>
              <w:rPr>
                <w:rFonts w:ascii="Times New Roman" w:eastAsia="Times New Roman" w:hAnsi="Times New Roman" w:cs="Times New Roman"/>
                <w:sz w:val="20"/>
                <w:szCs w:val="20"/>
                <w:lang w:bidi="ar-EG"/>
              </w:rPr>
            </w:pPr>
            <w:r w:rsidRPr="00DE22D0">
              <w:rPr>
                <w:rFonts w:ascii="Times New Roman" w:eastAsia="Times New Roman" w:hAnsi="Times New Roman" w:cs="Times New Roman"/>
                <w:sz w:val="20"/>
                <w:szCs w:val="20"/>
                <w:lang w:bidi="ar-EG"/>
              </w:rPr>
              <w:t>Total</w:t>
            </w:r>
          </w:p>
        </w:tc>
        <w:tc>
          <w:tcPr>
            <w:tcW w:w="304" w:type="pc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lang w:bidi="ar-EG"/>
              </w:rPr>
            </w:pPr>
          </w:p>
        </w:tc>
        <w:tc>
          <w:tcPr>
            <w:tcW w:w="311" w:type="pc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40" w:type="pc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N &amp; PF</w:t>
            </w:r>
          </w:p>
        </w:tc>
        <w:tc>
          <w:tcPr>
            <w:tcW w:w="311" w:type="pc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N &amp; F</w:t>
            </w:r>
          </w:p>
        </w:tc>
        <w:tc>
          <w:tcPr>
            <w:tcW w:w="324" w:type="pc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PF &amp; F</w:t>
            </w:r>
          </w:p>
        </w:tc>
      </w:tr>
      <w:tr w:rsidR="00DE22D0" w:rsidRPr="00DE22D0" w:rsidTr="00DE22D0">
        <w:trPr>
          <w:trHeight w:val="26"/>
        </w:trPr>
        <w:tc>
          <w:tcPr>
            <w:tcW w:w="1072" w:type="pct"/>
            <w:gridSpan w:val="2"/>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85" w:type="pct"/>
            <w:gridSpan w:val="2"/>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85" w:type="pct"/>
            <w:gridSpan w:val="2"/>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85" w:type="pct"/>
            <w:gridSpan w:val="2"/>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85" w:type="pct"/>
            <w:gridSpan w:val="2"/>
            <w:vMerge/>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614" w:type="pct"/>
            <w:gridSpan w:val="2"/>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ANOVA</w:t>
            </w:r>
          </w:p>
        </w:tc>
        <w:tc>
          <w:tcPr>
            <w:tcW w:w="975" w:type="pct"/>
            <w:gridSpan w:val="3"/>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TUKEY'S Test</w:t>
            </w:r>
          </w:p>
        </w:tc>
      </w:tr>
      <w:tr w:rsidR="00DE22D0" w:rsidRPr="00DE22D0" w:rsidTr="00DE22D0">
        <w:trPr>
          <w:trHeight w:val="26"/>
        </w:trPr>
        <w:tc>
          <w:tcPr>
            <w:tcW w:w="1072" w:type="pct"/>
            <w:gridSpan w:val="2"/>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85" w:type="pct"/>
            <w:gridSpan w:val="2"/>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85" w:type="pct"/>
            <w:gridSpan w:val="2"/>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85" w:type="pct"/>
            <w:gridSpan w:val="2"/>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85" w:type="pct"/>
            <w:gridSpan w:val="2"/>
            <w:vMerge/>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04" w:type="pc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F</w:t>
            </w:r>
          </w:p>
        </w:tc>
        <w:tc>
          <w:tcPr>
            <w:tcW w:w="311" w:type="pct"/>
            <w:shd w:val="clear" w:color="auto" w:fill="auto"/>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P</w:t>
            </w:r>
          </w:p>
        </w:tc>
        <w:tc>
          <w:tcPr>
            <w:tcW w:w="975" w:type="pct"/>
            <w:gridSpan w:val="3"/>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r>
      <w:tr w:rsidR="00DE22D0" w:rsidRPr="00DE22D0" w:rsidTr="00DE22D0">
        <w:trPr>
          <w:trHeight w:val="26"/>
        </w:trPr>
        <w:tc>
          <w:tcPr>
            <w:tcW w:w="557"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Age</w:t>
            </w: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Range</w:t>
            </w:r>
          </w:p>
        </w:tc>
        <w:tc>
          <w:tcPr>
            <w:tcW w:w="585" w:type="pct"/>
            <w:gridSpan w:val="2"/>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60-73</w:t>
            </w:r>
          </w:p>
        </w:tc>
        <w:tc>
          <w:tcPr>
            <w:tcW w:w="585" w:type="pct"/>
            <w:gridSpan w:val="2"/>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60-71</w:t>
            </w:r>
          </w:p>
        </w:tc>
        <w:tc>
          <w:tcPr>
            <w:tcW w:w="585" w:type="pct"/>
            <w:gridSpan w:val="2"/>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60-89</w:t>
            </w:r>
          </w:p>
        </w:tc>
        <w:tc>
          <w:tcPr>
            <w:tcW w:w="585" w:type="pct"/>
            <w:gridSpan w:val="2"/>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60-89</w:t>
            </w:r>
          </w:p>
        </w:tc>
        <w:tc>
          <w:tcPr>
            <w:tcW w:w="30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6.652</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b/>
                <w:bCs/>
                <w:sz w:val="20"/>
                <w:szCs w:val="20"/>
              </w:rPr>
            </w:pPr>
            <w:r w:rsidRPr="00DE22D0">
              <w:rPr>
                <w:rFonts w:ascii="Times New Roman" w:eastAsia="Times New Roman" w:hAnsi="Times New Roman" w:cs="Times New Roman"/>
                <w:b/>
                <w:bCs/>
                <w:sz w:val="20"/>
                <w:szCs w:val="20"/>
              </w:rPr>
              <w:t>0.002</w:t>
            </w:r>
          </w:p>
        </w:tc>
        <w:tc>
          <w:tcPr>
            <w:tcW w:w="340"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1.000</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b/>
                <w:bCs/>
                <w:sz w:val="20"/>
                <w:szCs w:val="20"/>
              </w:rPr>
            </w:pPr>
            <w:r w:rsidRPr="00DE22D0">
              <w:rPr>
                <w:rFonts w:ascii="Times New Roman" w:eastAsia="Times New Roman" w:hAnsi="Times New Roman" w:cs="Times New Roman"/>
                <w:b/>
                <w:bCs/>
                <w:sz w:val="20"/>
                <w:szCs w:val="20"/>
              </w:rPr>
              <w:t>0.009</w:t>
            </w:r>
          </w:p>
        </w:tc>
        <w:tc>
          <w:tcPr>
            <w:tcW w:w="32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b/>
                <w:bCs/>
                <w:sz w:val="20"/>
                <w:szCs w:val="20"/>
              </w:rPr>
            </w:pPr>
            <w:r w:rsidRPr="00DE22D0">
              <w:rPr>
                <w:rFonts w:ascii="Times New Roman" w:eastAsia="Times New Roman" w:hAnsi="Times New Roman" w:cs="Times New Roman"/>
                <w:b/>
                <w:bCs/>
                <w:sz w:val="20"/>
                <w:szCs w:val="20"/>
              </w:rPr>
              <w:t>0.014</w:t>
            </w:r>
          </w:p>
        </w:tc>
      </w:tr>
      <w:tr w:rsidR="00DE22D0" w:rsidRPr="00DE22D0" w:rsidTr="00DE22D0">
        <w:trPr>
          <w:trHeight w:val="26"/>
        </w:trPr>
        <w:tc>
          <w:tcPr>
            <w:tcW w:w="557"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Mean ±SD</w:t>
            </w:r>
          </w:p>
        </w:tc>
        <w:tc>
          <w:tcPr>
            <w:tcW w:w="585" w:type="pct"/>
            <w:gridSpan w:val="2"/>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64.583±4.272</w:t>
            </w:r>
          </w:p>
        </w:tc>
        <w:tc>
          <w:tcPr>
            <w:tcW w:w="585" w:type="pct"/>
            <w:gridSpan w:val="2"/>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64.550±4.123</w:t>
            </w:r>
          </w:p>
        </w:tc>
        <w:tc>
          <w:tcPr>
            <w:tcW w:w="585" w:type="pct"/>
            <w:gridSpan w:val="2"/>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69.935±8.810</w:t>
            </w:r>
          </w:p>
        </w:tc>
        <w:tc>
          <w:tcPr>
            <w:tcW w:w="585" w:type="pct"/>
            <w:gridSpan w:val="2"/>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67.311±7.407</w:t>
            </w:r>
          </w:p>
        </w:tc>
        <w:tc>
          <w:tcPr>
            <w:tcW w:w="30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40"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2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r>
      <w:tr w:rsidR="00DE22D0" w:rsidRPr="00DE22D0" w:rsidTr="00DE22D0">
        <w:trPr>
          <w:trHeight w:val="26"/>
        </w:trPr>
        <w:tc>
          <w:tcPr>
            <w:tcW w:w="1072" w:type="pct"/>
            <w:gridSpan w:val="2"/>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lang w:bidi="ar-EG"/>
              </w:rPr>
            </w:pPr>
          </w:p>
        </w:tc>
        <w:tc>
          <w:tcPr>
            <w:tcW w:w="257" w:type="pct"/>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N</w:t>
            </w:r>
          </w:p>
        </w:tc>
        <w:tc>
          <w:tcPr>
            <w:tcW w:w="328" w:type="pct"/>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257" w:type="pct"/>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N</w:t>
            </w:r>
          </w:p>
        </w:tc>
        <w:tc>
          <w:tcPr>
            <w:tcW w:w="328" w:type="pct"/>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270" w:type="pct"/>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N</w:t>
            </w:r>
          </w:p>
        </w:tc>
        <w:tc>
          <w:tcPr>
            <w:tcW w:w="315" w:type="pct"/>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293" w:type="pct"/>
            <w:vMerge w:val="restar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N</w:t>
            </w:r>
          </w:p>
        </w:tc>
        <w:tc>
          <w:tcPr>
            <w:tcW w:w="293" w:type="pct"/>
            <w:vMerge w:val="restar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614" w:type="pct"/>
            <w:gridSpan w:val="2"/>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Chi-Square</w:t>
            </w:r>
          </w:p>
        </w:tc>
        <w:tc>
          <w:tcPr>
            <w:tcW w:w="975" w:type="pct"/>
            <w:gridSpan w:val="3"/>
            <w:vMerge w:val="restar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Chi-Square</w:t>
            </w:r>
          </w:p>
        </w:tc>
      </w:tr>
      <w:tr w:rsidR="00DE22D0" w:rsidRPr="00DE22D0" w:rsidTr="00DE22D0">
        <w:trPr>
          <w:trHeight w:val="26"/>
        </w:trPr>
        <w:tc>
          <w:tcPr>
            <w:tcW w:w="1072" w:type="pct"/>
            <w:gridSpan w:val="2"/>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lang w:bidi="ar-EG"/>
              </w:rPr>
            </w:pPr>
          </w:p>
        </w:tc>
        <w:tc>
          <w:tcPr>
            <w:tcW w:w="257" w:type="pct"/>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28" w:type="pct"/>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257" w:type="pct"/>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28" w:type="pct"/>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270" w:type="pct"/>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5" w:type="pct"/>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293" w:type="pct"/>
            <w:vMerge/>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293" w:type="pct"/>
            <w:vMerge/>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04" w:type="pc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X</w:t>
            </w:r>
            <w:r w:rsidRPr="00DE22D0">
              <w:rPr>
                <w:rFonts w:ascii="Times New Roman" w:eastAsia="Times New Roman" w:hAnsi="Times New Roman" w:cs="Times New Roman"/>
                <w:sz w:val="20"/>
                <w:szCs w:val="20"/>
                <w:vertAlign w:val="superscript"/>
              </w:rPr>
              <w:t>2</w:t>
            </w:r>
          </w:p>
        </w:tc>
        <w:tc>
          <w:tcPr>
            <w:tcW w:w="311" w:type="pct"/>
            <w:shd w:val="clear" w:color="auto" w:fill="auto"/>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P</w:t>
            </w:r>
          </w:p>
        </w:tc>
        <w:tc>
          <w:tcPr>
            <w:tcW w:w="975" w:type="pct"/>
            <w:gridSpan w:val="3"/>
            <w:vMerge/>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r>
      <w:tr w:rsidR="00DE22D0" w:rsidRPr="00DE22D0" w:rsidTr="00DE22D0">
        <w:trPr>
          <w:trHeight w:val="26"/>
        </w:trPr>
        <w:tc>
          <w:tcPr>
            <w:tcW w:w="557"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Gender</w:t>
            </w: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Male</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19</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79.17</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14</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70.00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27</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58.70</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60</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66.67</w:t>
            </w:r>
          </w:p>
        </w:tc>
        <w:tc>
          <w:tcPr>
            <w:tcW w:w="30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3.103</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0.212</w:t>
            </w:r>
          </w:p>
        </w:tc>
        <w:tc>
          <w:tcPr>
            <w:tcW w:w="340"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32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r>
      <w:tr w:rsidR="00DE22D0" w:rsidRPr="00DE22D0" w:rsidTr="00DE22D0">
        <w:trPr>
          <w:trHeight w:val="26"/>
        </w:trPr>
        <w:tc>
          <w:tcPr>
            <w:tcW w:w="557"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Female</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5</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20.83</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30.00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19</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41.30</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30</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33.33</w:t>
            </w:r>
          </w:p>
        </w:tc>
        <w:tc>
          <w:tcPr>
            <w:tcW w:w="30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40"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2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r>
      <w:tr w:rsidR="00DE22D0" w:rsidRPr="00DE22D0" w:rsidTr="00DE22D0">
        <w:trPr>
          <w:trHeight w:val="26"/>
        </w:trPr>
        <w:tc>
          <w:tcPr>
            <w:tcW w:w="557"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Marital</w:t>
            </w:r>
          </w:p>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Status</w:t>
            </w: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Married</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19</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79.17</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15</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75.00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31</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67.39</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65</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72.22</w:t>
            </w:r>
          </w:p>
        </w:tc>
        <w:tc>
          <w:tcPr>
            <w:tcW w:w="30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8.022</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0.236</w:t>
            </w:r>
          </w:p>
        </w:tc>
        <w:tc>
          <w:tcPr>
            <w:tcW w:w="340"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32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r>
      <w:tr w:rsidR="00DE22D0" w:rsidRPr="00DE22D0" w:rsidTr="00DE22D0">
        <w:trPr>
          <w:trHeight w:val="26"/>
        </w:trPr>
        <w:tc>
          <w:tcPr>
            <w:tcW w:w="557"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Single</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4.17</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5.00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0</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0.00</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2.22</w:t>
            </w:r>
          </w:p>
        </w:tc>
        <w:tc>
          <w:tcPr>
            <w:tcW w:w="30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40"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2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r>
      <w:tr w:rsidR="00DE22D0" w:rsidRPr="00DE22D0" w:rsidTr="00DE22D0">
        <w:trPr>
          <w:trHeight w:val="26"/>
        </w:trPr>
        <w:tc>
          <w:tcPr>
            <w:tcW w:w="557"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Widow</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12.50</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20.00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15</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32.61</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22</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24.44</w:t>
            </w:r>
          </w:p>
        </w:tc>
        <w:tc>
          <w:tcPr>
            <w:tcW w:w="30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40"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2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r>
      <w:tr w:rsidR="00DE22D0" w:rsidRPr="00DE22D0" w:rsidTr="00DE22D0">
        <w:trPr>
          <w:trHeight w:val="26"/>
        </w:trPr>
        <w:tc>
          <w:tcPr>
            <w:tcW w:w="557"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Divorced</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4.17</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0</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0.00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0</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0.00</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1.11</w:t>
            </w:r>
          </w:p>
        </w:tc>
        <w:tc>
          <w:tcPr>
            <w:tcW w:w="30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40"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2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r>
      <w:tr w:rsidR="00DE22D0" w:rsidRPr="00DE22D0" w:rsidTr="00DE22D0">
        <w:trPr>
          <w:trHeight w:val="26"/>
        </w:trPr>
        <w:tc>
          <w:tcPr>
            <w:tcW w:w="557"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Living</w:t>
            </w:r>
          </w:p>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Arrangement</w:t>
            </w: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Alone</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16.67</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15.00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6.52</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10</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11.11</w:t>
            </w:r>
          </w:p>
        </w:tc>
        <w:tc>
          <w:tcPr>
            <w:tcW w:w="30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2.037</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0.361</w:t>
            </w:r>
          </w:p>
        </w:tc>
        <w:tc>
          <w:tcPr>
            <w:tcW w:w="340"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32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r>
      <w:tr w:rsidR="00DE22D0" w:rsidRPr="00DE22D0" w:rsidTr="00DE22D0">
        <w:trPr>
          <w:trHeight w:val="26"/>
        </w:trPr>
        <w:tc>
          <w:tcPr>
            <w:tcW w:w="557"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With family</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20</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83.33</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17</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85.00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43</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93.48</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80</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88.89</w:t>
            </w:r>
          </w:p>
        </w:tc>
        <w:tc>
          <w:tcPr>
            <w:tcW w:w="30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40"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2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r>
      <w:tr w:rsidR="00DE22D0" w:rsidRPr="00DE22D0" w:rsidTr="00DE22D0">
        <w:trPr>
          <w:trHeight w:val="26"/>
        </w:trPr>
        <w:tc>
          <w:tcPr>
            <w:tcW w:w="557"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Education</w:t>
            </w: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Literate</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17</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70.83</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9</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45.00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9</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19.57</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35</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38.89</w:t>
            </w:r>
          </w:p>
        </w:tc>
        <w:tc>
          <w:tcPr>
            <w:tcW w:w="30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17.847</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b/>
                <w:bCs/>
                <w:sz w:val="20"/>
                <w:szCs w:val="20"/>
              </w:rPr>
            </w:pPr>
            <w:r w:rsidRPr="00DE22D0">
              <w:rPr>
                <w:rFonts w:ascii="Times New Roman" w:eastAsia="Times New Roman" w:hAnsi="Times New Roman" w:cs="Times New Roman"/>
                <w:b/>
                <w:bCs/>
                <w:sz w:val="20"/>
                <w:szCs w:val="20"/>
              </w:rPr>
              <w:t>&lt;0.001</w:t>
            </w:r>
          </w:p>
        </w:tc>
        <w:tc>
          <w:tcPr>
            <w:tcW w:w="340"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SimSun" w:hAnsi="Times New Roman" w:cs="Times New Roman"/>
                <w:sz w:val="20"/>
                <w:szCs w:val="20"/>
              </w:rPr>
            </w:pPr>
            <w:r w:rsidRPr="00DE22D0">
              <w:rPr>
                <w:rFonts w:ascii="Times New Roman" w:eastAsia="SimSun" w:hAnsi="Times New Roman" w:cs="Times New Roman"/>
                <w:sz w:val="20"/>
                <w:szCs w:val="20"/>
                <w:lang w:eastAsia="zh-CN" w:bidi="ar-EG"/>
              </w:rPr>
              <w:t>0.083</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b/>
                <w:bCs/>
                <w:sz w:val="20"/>
                <w:szCs w:val="20"/>
              </w:rPr>
            </w:pPr>
            <w:r w:rsidRPr="00DE22D0">
              <w:rPr>
                <w:rFonts w:ascii="Times New Roman" w:eastAsia="Times New Roman" w:hAnsi="Times New Roman" w:cs="Times New Roman"/>
                <w:b/>
                <w:bCs/>
                <w:sz w:val="20"/>
                <w:szCs w:val="20"/>
              </w:rPr>
              <w:t>&lt;0.001</w:t>
            </w:r>
          </w:p>
        </w:tc>
        <w:tc>
          <w:tcPr>
            <w:tcW w:w="32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SimSun" w:hAnsi="Times New Roman" w:cs="Times New Roman"/>
                <w:b/>
                <w:bCs/>
                <w:sz w:val="20"/>
                <w:szCs w:val="20"/>
                <w:lang w:eastAsia="zh-CN" w:bidi="ar-EG"/>
              </w:rPr>
            </w:pPr>
            <w:r w:rsidRPr="00DE22D0">
              <w:rPr>
                <w:rFonts w:ascii="Times New Roman" w:eastAsia="SimSun" w:hAnsi="Times New Roman" w:cs="Times New Roman"/>
                <w:b/>
                <w:bCs/>
                <w:sz w:val="20"/>
                <w:szCs w:val="20"/>
                <w:lang w:eastAsia="zh-CN" w:bidi="ar-EG"/>
              </w:rPr>
              <w:t>0.033</w:t>
            </w:r>
          </w:p>
        </w:tc>
      </w:tr>
      <w:tr w:rsidR="00DE22D0" w:rsidRPr="00DE22D0" w:rsidTr="00DE22D0">
        <w:trPr>
          <w:trHeight w:val="26"/>
        </w:trPr>
        <w:tc>
          <w:tcPr>
            <w:tcW w:w="557"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Illiterate</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7</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29.17</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11</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55.00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37</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80.43</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55</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61.11</w:t>
            </w:r>
          </w:p>
        </w:tc>
        <w:tc>
          <w:tcPr>
            <w:tcW w:w="30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40"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2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r>
      <w:tr w:rsidR="00DE22D0" w:rsidRPr="00DE22D0" w:rsidTr="00DE22D0">
        <w:trPr>
          <w:trHeight w:val="26"/>
        </w:trPr>
        <w:tc>
          <w:tcPr>
            <w:tcW w:w="557"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tl/>
                <w:lang w:bidi="ar-EG"/>
              </w:rPr>
            </w:pPr>
            <w:r w:rsidRPr="00DE22D0">
              <w:rPr>
                <w:rFonts w:ascii="Times New Roman" w:eastAsia="Times New Roman" w:hAnsi="Times New Roman" w:cs="Times New Roman"/>
                <w:sz w:val="20"/>
                <w:szCs w:val="20"/>
              </w:rPr>
              <w:t>Smoking</w:t>
            </w: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Yes</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9</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37.50</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11</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55.00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13</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28.26</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33</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36.67</w:t>
            </w:r>
          </w:p>
        </w:tc>
        <w:tc>
          <w:tcPr>
            <w:tcW w:w="30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4.529</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0.339</w:t>
            </w:r>
          </w:p>
        </w:tc>
        <w:tc>
          <w:tcPr>
            <w:tcW w:w="340"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311"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c>
          <w:tcPr>
            <w:tcW w:w="324" w:type="pct"/>
            <w:vMerge w:val="restar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w:t>
            </w:r>
          </w:p>
        </w:tc>
      </w:tr>
      <w:tr w:rsidR="00DE22D0" w:rsidRPr="00DE22D0" w:rsidTr="00DE22D0">
        <w:trPr>
          <w:trHeight w:val="26"/>
        </w:trPr>
        <w:tc>
          <w:tcPr>
            <w:tcW w:w="557"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No</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11</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45.83</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6</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30.00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22</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47.83</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39</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43.33</w:t>
            </w:r>
          </w:p>
        </w:tc>
        <w:tc>
          <w:tcPr>
            <w:tcW w:w="30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40"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2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r>
      <w:tr w:rsidR="00DE22D0" w:rsidRPr="00DE22D0" w:rsidTr="00DE22D0">
        <w:trPr>
          <w:trHeight w:val="26"/>
        </w:trPr>
        <w:tc>
          <w:tcPr>
            <w:tcW w:w="557"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5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lang w:bidi="ar-EG"/>
              </w:rPr>
            </w:pPr>
            <w:r w:rsidRPr="00DE22D0">
              <w:rPr>
                <w:rFonts w:ascii="Times New Roman" w:eastAsia="Times New Roman" w:hAnsi="Times New Roman" w:cs="Times New Roman"/>
                <w:sz w:val="20"/>
                <w:szCs w:val="20"/>
              </w:rPr>
              <w:t>Ex-smoker</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4</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16.67</w:t>
            </w:r>
          </w:p>
        </w:tc>
        <w:tc>
          <w:tcPr>
            <w:tcW w:w="257"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3</w:t>
            </w:r>
          </w:p>
        </w:tc>
        <w:tc>
          <w:tcPr>
            <w:tcW w:w="328"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15.00</w:t>
            </w:r>
          </w:p>
        </w:tc>
        <w:tc>
          <w:tcPr>
            <w:tcW w:w="270"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11</w:t>
            </w:r>
          </w:p>
        </w:tc>
        <w:tc>
          <w:tcPr>
            <w:tcW w:w="315" w:type="pct"/>
            <w:shd w:val="clear" w:color="auto" w:fill="auto"/>
            <w:noWrap/>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23.91</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18</w:t>
            </w:r>
          </w:p>
        </w:tc>
        <w:tc>
          <w:tcPr>
            <w:tcW w:w="293" w:type="pct"/>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20.00</w:t>
            </w:r>
          </w:p>
        </w:tc>
        <w:tc>
          <w:tcPr>
            <w:tcW w:w="30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40"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11"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c>
          <w:tcPr>
            <w:tcW w:w="324" w:type="pct"/>
            <w:vMerge/>
            <w:shd w:val="clear" w:color="auto" w:fill="auto"/>
            <w:vAlign w:val="center"/>
            <w:hideMark/>
          </w:tcPr>
          <w:p w:rsidR="00C023B7" w:rsidRPr="00DE22D0" w:rsidRDefault="00C023B7" w:rsidP="00DE22D0">
            <w:pPr>
              <w:spacing w:after="0" w:line="240" w:lineRule="auto"/>
              <w:jc w:val="center"/>
              <w:rPr>
                <w:rFonts w:ascii="Times New Roman" w:eastAsia="Times New Roman" w:hAnsi="Times New Roman" w:cs="Times New Roman"/>
                <w:sz w:val="20"/>
                <w:szCs w:val="20"/>
              </w:rPr>
            </w:pPr>
          </w:p>
        </w:tc>
      </w:tr>
    </w:tbl>
    <w:p w:rsidR="00C023B7" w:rsidRPr="00DE22D0" w:rsidRDefault="00C023B7" w:rsidP="00DE22D0">
      <w:pPr>
        <w:autoSpaceDE w:val="0"/>
        <w:autoSpaceDN w:val="0"/>
        <w:adjustRightInd w:val="0"/>
        <w:spacing w:after="0" w:line="240" w:lineRule="auto"/>
        <w:rPr>
          <w:rFonts w:ascii="Times New Roman" w:hAnsi="Times New Roman" w:cs="Times New Roman"/>
          <w:sz w:val="18"/>
          <w:szCs w:val="18"/>
        </w:rPr>
      </w:pPr>
      <w:r w:rsidRPr="00DE22D0">
        <w:rPr>
          <w:rFonts w:ascii="Times New Roman" w:hAnsi="Times New Roman" w:cs="Times New Roman"/>
          <w:sz w:val="18"/>
          <w:szCs w:val="18"/>
        </w:rPr>
        <w:t>N; non-frail, PF; pre-frail, F; frail</w:t>
      </w:r>
    </w:p>
    <w:p w:rsidR="00C023B7" w:rsidRPr="00DE22D0" w:rsidRDefault="00C023B7" w:rsidP="00DE22D0">
      <w:pPr>
        <w:spacing w:after="0" w:line="240" w:lineRule="auto"/>
        <w:rPr>
          <w:rFonts w:ascii="Times New Roman" w:hAnsi="Times New Roman" w:cs="Times New Roman"/>
          <w:b/>
          <w:bCs/>
        </w:rPr>
      </w:pPr>
      <w:r w:rsidRPr="00DE22D0">
        <w:rPr>
          <w:rFonts w:ascii="Times New Roman" w:hAnsi="Times New Roman" w:cs="Times New Roman"/>
          <w:b/>
          <w:bCs/>
        </w:rPr>
        <w:br w:type="page"/>
      </w:r>
    </w:p>
    <w:p w:rsidR="00C023B7" w:rsidRPr="00DE22D0" w:rsidRDefault="00C023B7" w:rsidP="00DE22D0">
      <w:pPr>
        <w:spacing w:after="0" w:line="240" w:lineRule="auto"/>
        <w:jc w:val="center"/>
        <w:rPr>
          <w:rFonts w:ascii="Times New Roman" w:eastAsia="Times New Roman" w:hAnsi="Times New Roman" w:cs="Times New Roman"/>
          <w:b/>
          <w:i/>
          <w:iCs/>
          <w:noProof/>
          <w:kern w:val="28"/>
          <w:sz w:val="18"/>
          <w:szCs w:val="18"/>
        </w:rPr>
      </w:pPr>
      <w:r w:rsidRPr="00DE22D0">
        <w:rPr>
          <w:rFonts w:ascii="Times New Roman" w:hAnsi="Times New Roman" w:cs="Times New Roman"/>
          <w:b/>
          <w:i/>
          <w:iCs/>
          <w:sz w:val="18"/>
          <w:szCs w:val="18"/>
        </w:rPr>
        <w:t>Table (2):</w:t>
      </w:r>
      <w:r w:rsidRPr="00DE22D0">
        <w:rPr>
          <w:rFonts w:ascii="Times New Roman" w:eastAsia="Times New Roman" w:hAnsi="Times New Roman" w:cs="Times New Roman"/>
          <w:b/>
          <w:i/>
          <w:iCs/>
          <w:noProof/>
          <w:kern w:val="28"/>
          <w:sz w:val="18"/>
          <w:szCs w:val="18"/>
        </w:rPr>
        <w:t xml:space="preserve"> Comparison between study groups regarding studied markers of subclinical atherosclerosis:</w:t>
      </w:r>
    </w:p>
    <w:tbl>
      <w:tblPr>
        <w:tblW w:w="4566" w:type="pct"/>
        <w:jc w:val="center"/>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634"/>
        <w:gridCol w:w="642"/>
        <w:gridCol w:w="1327"/>
        <w:gridCol w:w="1327"/>
        <w:gridCol w:w="1327"/>
        <w:gridCol w:w="682"/>
        <w:gridCol w:w="699"/>
        <w:gridCol w:w="697"/>
        <w:gridCol w:w="33"/>
        <w:gridCol w:w="666"/>
        <w:gridCol w:w="618"/>
      </w:tblGrid>
      <w:tr w:rsidR="00C023B7" w:rsidRPr="00DE22D0" w:rsidTr="00DE22D0">
        <w:trPr>
          <w:cantSplit/>
          <w:trHeight w:val="18"/>
          <w:jc w:val="center"/>
        </w:trPr>
        <w:tc>
          <w:tcPr>
            <w:tcW w:w="737" w:type="pct"/>
            <w:gridSpan w:val="2"/>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767" w:type="pct"/>
            <w:vMerge w:val="restar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Non-frail</w:t>
            </w:r>
          </w:p>
        </w:tc>
        <w:tc>
          <w:tcPr>
            <w:tcW w:w="767" w:type="pct"/>
            <w:vMerge w:val="restar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Pre-frail</w:t>
            </w:r>
          </w:p>
        </w:tc>
        <w:tc>
          <w:tcPr>
            <w:tcW w:w="767" w:type="pct"/>
            <w:vMerge w:val="restar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Frail</w:t>
            </w:r>
          </w:p>
        </w:tc>
        <w:tc>
          <w:tcPr>
            <w:tcW w:w="798" w:type="pct"/>
            <w:gridSpan w:val="2"/>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422" w:type="pct"/>
            <w:gridSpan w:val="2"/>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N&amp;PF</w:t>
            </w:r>
          </w:p>
        </w:tc>
        <w:tc>
          <w:tcPr>
            <w:tcW w:w="385" w:type="pc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N&amp;F</w:t>
            </w:r>
          </w:p>
        </w:tc>
        <w:tc>
          <w:tcPr>
            <w:tcW w:w="358" w:type="pct"/>
            <w:shd w:val="clear" w:color="auto" w:fill="auto"/>
            <w:noWrap/>
            <w:vAlign w:val="center"/>
          </w:tcPr>
          <w:p w:rsidR="00C023B7" w:rsidRPr="00DE22D0" w:rsidRDefault="00C023B7" w:rsidP="00DE22D0">
            <w:pPr>
              <w:spacing w:after="0" w:line="240" w:lineRule="auto"/>
              <w:jc w:val="center"/>
              <w:rPr>
                <w:rFonts w:ascii="Times New Roman" w:eastAsia="Times New Roman" w:hAnsi="Times New Roman" w:cs="Times New Roman"/>
                <w:sz w:val="20"/>
                <w:szCs w:val="20"/>
              </w:rPr>
            </w:pPr>
            <w:r w:rsidRPr="00DE22D0">
              <w:rPr>
                <w:rFonts w:ascii="Times New Roman" w:eastAsia="Times New Roman" w:hAnsi="Times New Roman" w:cs="Times New Roman"/>
                <w:sz w:val="20"/>
                <w:szCs w:val="20"/>
              </w:rPr>
              <w:t>PF&amp;F</w:t>
            </w:r>
          </w:p>
        </w:tc>
      </w:tr>
      <w:tr w:rsidR="00C023B7" w:rsidRPr="00DE22D0" w:rsidTr="00DE22D0">
        <w:trPr>
          <w:cantSplit/>
          <w:trHeight w:val="18"/>
          <w:jc w:val="center"/>
        </w:trPr>
        <w:tc>
          <w:tcPr>
            <w:tcW w:w="737" w:type="pct"/>
            <w:gridSpan w:val="2"/>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767" w:type="pct"/>
            <w:vMerge/>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767" w:type="pct"/>
            <w:vMerge/>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767" w:type="pct"/>
            <w:vMerge/>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798" w:type="pct"/>
            <w:gridSpan w:val="2"/>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ANOVA</w:t>
            </w:r>
          </w:p>
        </w:tc>
        <w:tc>
          <w:tcPr>
            <w:tcW w:w="1165" w:type="pct"/>
            <w:gridSpan w:val="4"/>
            <w:vMerge w:val="restar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TOUKEY'S Test</w:t>
            </w:r>
          </w:p>
        </w:tc>
      </w:tr>
      <w:tr w:rsidR="00C023B7" w:rsidRPr="00DE22D0" w:rsidTr="00DE22D0">
        <w:trPr>
          <w:cantSplit/>
          <w:trHeight w:val="18"/>
          <w:jc w:val="center"/>
        </w:trPr>
        <w:tc>
          <w:tcPr>
            <w:tcW w:w="737" w:type="pct"/>
            <w:gridSpan w:val="2"/>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767" w:type="pct"/>
            <w:vMerge/>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767" w:type="pct"/>
            <w:vMerge/>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767" w:type="pct"/>
            <w:vMerge/>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394"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F</w:t>
            </w:r>
          </w:p>
        </w:tc>
        <w:tc>
          <w:tcPr>
            <w:tcW w:w="403" w:type="pc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P</w:t>
            </w:r>
          </w:p>
        </w:tc>
        <w:tc>
          <w:tcPr>
            <w:tcW w:w="1165" w:type="pct"/>
            <w:gridSpan w:val="4"/>
            <w:vMerge/>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r>
      <w:tr w:rsidR="00C023B7" w:rsidRPr="00DE22D0" w:rsidTr="00DE22D0">
        <w:trPr>
          <w:cantSplit/>
          <w:trHeight w:val="18"/>
          <w:jc w:val="center"/>
        </w:trPr>
        <w:tc>
          <w:tcPr>
            <w:tcW w:w="366"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ABI</w:t>
            </w:r>
          </w:p>
        </w:tc>
        <w:tc>
          <w:tcPr>
            <w:tcW w:w="371"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Range</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0.96-1.3</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0.78-1.42</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0.53-1.66</w:t>
            </w:r>
          </w:p>
        </w:tc>
        <w:tc>
          <w:tcPr>
            <w:tcW w:w="394"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6.030</w:t>
            </w:r>
          </w:p>
        </w:tc>
        <w:tc>
          <w:tcPr>
            <w:tcW w:w="403"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b/>
                <w:bCs/>
                <w:sz w:val="20"/>
                <w:szCs w:val="20"/>
                <w:lang w:eastAsia="zh-CN" w:bidi="ar-EG"/>
              </w:rPr>
            </w:pPr>
            <w:r w:rsidRPr="00DE22D0">
              <w:rPr>
                <w:rFonts w:ascii="Times New Roman" w:eastAsia="SimSun" w:hAnsi="Times New Roman" w:cs="Times New Roman"/>
                <w:b/>
                <w:bCs/>
                <w:sz w:val="20"/>
                <w:szCs w:val="20"/>
                <w:lang w:eastAsia="zh-CN" w:bidi="ar-EG"/>
              </w:rPr>
              <w:t>0.004</w:t>
            </w:r>
          </w:p>
        </w:tc>
        <w:tc>
          <w:tcPr>
            <w:tcW w:w="403"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0.255</w:t>
            </w:r>
          </w:p>
        </w:tc>
        <w:tc>
          <w:tcPr>
            <w:tcW w:w="403" w:type="pct"/>
            <w:gridSpan w:val="2"/>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b/>
                <w:bCs/>
                <w:sz w:val="20"/>
                <w:szCs w:val="20"/>
                <w:lang w:eastAsia="zh-CN" w:bidi="ar-EG"/>
              </w:rPr>
            </w:pPr>
            <w:r w:rsidRPr="00DE22D0">
              <w:rPr>
                <w:rFonts w:ascii="Times New Roman" w:eastAsia="SimSun" w:hAnsi="Times New Roman" w:cs="Times New Roman"/>
                <w:b/>
                <w:bCs/>
                <w:sz w:val="20"/>
                <w:szCs w:val="20"/>
                <w:lang w:eastAsia="zh-CN" w:bidi="ar-EG"/>
              </w:rPr>
              <w:t>0.002</w:t>
            </w:r>
          </w:p>
        </w:tc>
        <w:tc>
          <w:tcPr>
            <w:tcW w:w="358"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0.321</w:t>
            </w:r>
          </w:p>
        </w:tc>
      </w:tr>
      <w:tr w:rsidR="00C023B7" w:rsidRPr="00DE22D0" w:rsidTr="00DE22D0">
        <w:trPr>
          <w:cantSplit/>
          <w:trHeight w:val="18"/>
          <w:jc w:val="center"/>
        </w:trPr>
        <w:tc>
          <w:tcPr>
            <w:tcW w:w="366"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371"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Mean</w:t>
            </w:r>
          </w:p>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±SD</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1.145±0.102</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1.052±0.180</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0.977±0.232</w:t>
            </w:r>
          </w:p>
        </w:tc>
        <w:tc>
          <w:tcPr>
            <w:tcW w:w="394"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403"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403"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403" w:type="pct"/>
            <w:gridSpan w:val="2"/>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358"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r>
      <w:tr w:rsidR="00C023B7" w:rsidRPr="00DE22D0" w:rsidTr="00DE22D0">
        <w:trPr>
          <w:cantSplit/>
          <w:trHeight w:val="18"/>
          <w:jc w:val="center"/>
        </w:trPr>
        <w:tc>
          <w:tcPr>
            <w:tcW w:w="366"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Max.</w:t>
            </w:r>
          </w:p>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CIMT</w:t>
            </w:r>
          </w:p>
        </w:tc>
        <w:tc>
          <w:tcPr>
            <w:tcW w:w="371"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Range</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0.5-1</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0.7-1.8</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0.7-2.2</w:t>
            </w:r>
          </w:p>
        </w:tc>
        <w:tc>
          <w:tcPr>
            <w:tcW w:w="394"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19.209</w:t>
            </w:r>
          </w:p>
        </w:tc>
        <w:tc>
          <w:tcPr>
            <w:tcW w:w="403"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b/>
                <w:bCs/>
                <w:sz w:val="20"/>
                <w:szCs w:val="20"/>
                <w:lang w:eastAsia="zh-CN" w:bidi="ar-EG"/>
              </w:rPr>
            </w:pPr>
            <w:r w:rsidRPr="00DE22D0">
              <w:rPr>
                <w:rFonts w:ascii="Times New Roman" w:eastAsia="SimSun" w:hAnsi="Times New Roman" w:cs="Times New Roman"/>
                <w:b/>
                <w:bCs/>
                <w:sz w:val="20"/>
                <w:szCs w:val="20"/>
                <w:lang w:eastAsia="zh-CN" w:bidi="ar-EG"/>
              </w:rPr>
              <w:t>&lt;0.001</w:t>
            </w:r>
          </w:p>
        </w:tc>
        <w:tc>
          <w:tcPr>
            <w:tcW w:w="403"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b/>
                <w:bCs/>
                <w:sz w:val="20"/>
                <w:szCs w:val="20"/>
                <w:lang w:eastAsia="zh-CN" w:bidi="ar-EG"/>
              </w:rPr>
            </w:pPr>
            <w:r w:rsidRPr="00DE22D0">
              <w:rPr>
                <w:rFonts w:ascii="Times New Roman" w:eastAsia="SimSun" w:hAnsi="Times New Roman" w:cs="Times New Roman"/>
                <w:b/>
                <w:bCs/>
                <w:sz w:val="20"/>
                <w:szCs w:val="20"/>
                <w:lang w:eastAsia="zh-CN" w:bidi="ar-EG"/>
              </w:rPr>
              <w:t>&lt;0.001</w:t>
            </w:r>
          </w:p>
        </w:tc>
        <w:tc>
          <w:tcPr>
            <w:tcW w:w="403" w:type="pct"/>
            <w:gridSpan w:val="2"/>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b/>
                <w:bCs/>
                <w:sz w:val="20"/>
                <w:szCs w:val="20"/>
                <w:lang w:eastAsia="zh-CN" w:bidi="ar-EG"/>
              </w:rPr>
            </w:pPr>
            <w:r w:rsidRPr="00DE22D0">
              <w:rPr>
                <w:rFonts w:ascii="Times New Roman" w:eastAsia="SimSun" w:hAnsi="Times New Roman" w:cs="Times New Roman"/>
                <w:b/>
                <w:bCs/>
                <w:sz w:val="20"/>
                <w:szCs w:val="20"/>
                <w:lang w:eastAsia="zh-CN" w:bidi="ar-EG"/>
              </w:rPr>
              <w:t>&lt;0.001</w:t>
            </w:r>
          </w:p>
        </w:tc>
        <w:tc>
          <w:tcPr>
            <w:tcW w:w="358"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0.659</w:t>
            </w:r>
          </w:p>
        </w:tc>
      </w:tr>
      <w:tr w:rsidR="00C023B7" w:rsidRPr="00DE22D0" w:rsidTr="00DE22D0">
        <w:trPr>
          <w:cantSplit/>
          <w:trHeight w:val="18"/>
          <w:jc w:val="center"/>
        </w:trPr>
        <w:tc>
          <w:tcPr>
            <w:tcW w:w="366"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371"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Mean</w:t>
            </w:r>
          </w:p>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±SD</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0.733±0.146</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1.140±0.352</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1.213±0.355</w:t>
            </w:r>
          </w:p>
        </w:tc>
        <w:tc>
          <w:tcPr>
            <w:tcW w:w="394"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403"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403"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403" w:type="pct"/>
            <w:gridSpan w:val="2"/>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358"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r>
      <w:tr w:rsidR="00C023B7" w:rsidRPr="00DE22D0" w:rsidTr="00DE22D0">
        <w:trPr>
          <w:cantSplit/>
          <w:trHeight w:val="18"/>
          <w:jc w:val="center"/>
        </w:trPr>
        <w:tc>
          <w:tcPr>
            <w:tcW w:w="366"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AAD</w:t>
            </w:r>
          </w:p>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371"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Range</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13-24</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14-25</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15-26</w:t>
            </w:r>
          </w:p>
        </w:tc>
        <w:tc>
          <w:tcPr>
            <w:tcW w:w="394"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1.868</w:t>
            </w:r>
          </w:p>
        </w:tc>
        <w:tc>
          <w:tcPr>
            <w:tcW w:w="403"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0.161</w:t>
            </w:r>
          </w:p>
        </w:tc>
        <w:tc>
          <w:tcPr>
            <w:tcW w:w="403"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w:t>
            </w:r>
          </w:p>
        </w:tc>
        <w:tc>
          <w:tcPr>
            <w:tcW w:w="403" w:type="pct"/>
            <w:gridSpan w:val="2"/>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w:t>
            </w:r>
          </w:p>
        </w:tc>
        <w:tc>
          <w:tcPr>
            <w:tcW w:w="358" w:type="pct"/>
            <w:vMerge w:val="restart"/>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w:t>
            </w:r>
          </w:p>
        </w:tc>
      </w:tr>
      <w:tr w:rsidR="00C023B7" w:rsidRPr="00DE22D0" w:rsidTr="00DE22D0">
        <w:trPr>
          <w:cantSplit/>
          <w:trHeight w:val="18"/>
          <w:jc w:val="center"/>
        </w:trPr>
        <w:tc>
          <w:tcPr>
            <w:tcW w:w="366"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371"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Mean</w:t>
            </w:r>
          </w:p>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±SD</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19.880±2.252</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20.400±2.583</w:t>
            </w:r>
          </w:p>
        </w:tc>
        <w:tc>
          <w:tcPr>
            <w:tcW w:w="767" w:type="pct"/>
            <w:shd w:val="clear" w:color="auto" w:fill="auto"/>
            <w:noWrap/>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r w:rsidRPr="00DE22D0">
              <w:rPr>
                <w:rFonts w:ascii="Times New Roman" w:eastAsia="SimSun" w:hAnsi="Times New Roman" w:cs="Times New Roman"/>
                <w:sz w:val="20"/>
                <w:szCs w:val="20"/>
                <w:lang w:eastAsia="zh-CN" w:bidi="ar-EG"/>
              </w:rPr>
              <w:t>21.178±3.056</w:t>
            </w:r>
          </w:p>
        </w:tc>
        <w:tc>
          <w:tcPr>
            <w:tcW w:w="394"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403"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403"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403" w:type="pct"/>
            <w:gridSpan w:val="2"/>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c>
          <w:tcPr>
            <w:tcW w:w="358" w:type="pct"/>
            <w:vMerge/>
            <w:shd w:val="clear" w:color="auto" w:fill="auto"/>
            <w:vAlign w:val="center"/>
          </w:tcPr>
          <w:p w:rsidR="00C023B7" w:rsidRPr="00DE22D0" w:rsidRDefault="00C023B7" w:rsidP="00DE22D0">
            <w:pPr>
              <w:spacing w:after="0" w:line="240" w:lineRule="auto"/>
              <w:jc w:val="center"/>
              <w:rPr>
                <w:rFonts w:ascii="Times New Roman" w:eastAsia="SimSun" w:hAnsi="Times New Roman" w:cs="Times New Roman"/>
                <w:sz w:val="20"/>
                <w:szCs w:val="20"/>
                <w:lang w:eastAsia="zh-CN" w:bidi="ar-EG"/>
              </w:rPr>
            </w:pPr>
          </w:p>
        </w:tc>
      </w:tr>
    </w:tbl>
    <w:p w:rsidR="00DE22D0" w:rsidRPr="00DE22D0" w:rsidRDefault="00DE22D0" w:rsidP="00DE22D0">
      <w:pPr>
        <w:tabs>
          <w:tab w:val="left" w:pos="1119"/>
        </w:tabs>
        <w:spacing w:after="0" w:line="240" w:lineRule="auto"/>
        <w:jc w:val="both"/>
        <w:rPr>
          <w:rFonts w:ascii="Times New Roman" w:eastAsia="SimSun" w:hAnsi="Times New Roman" w:cs="Times New Roman"/>
          <w:sz w:val="18"/>
          <w:szCs w:val="18"/>
          <w:lang w:eastAsia="zh-CN" w:bidi="ar-EG"/>
        </w:rPr>
      </w:pPr>
    </w:p>
    <w:p w:rsidR="00C023B7" w:rsidRPr="00DE22D0" w:rsidRDefault="00C023B7" w:rsidP="00DE22D0">
      <w:pPr>
        <w:tabs>
          <w:tab w:val="left" w:pos="1119"/>
        </w:tabs>
        <w:spacing w:after="0" w:line="240" w:lineRule="auto"/>
        <w:jc w:val="both"/>
        <w:rPr>
          <w:rFonts w:ascii="Times New Roman" w:hAnsi="Times New Roman" w:cs="Times New Roman"/>
          <w:b/>
          <w:bCs/>
          <w:sz w:val="24"/>
          <w:szCs w:val="24"/>
        </w:rPr>
      </w:pPr>
      <w:r w:rsidRPr="00DE22D0">
        <w:rPr>
          <w:rFonts w:ascii="Times New Roman" w:eastAsia="SimSun" w:hAnsi="Times New Roman" w:cs="Times New Roman"/>
          <w:sz w:val="18"/>
          <w:szCs w:val="18"/>
          <w:lang w:eastAsia="zh-CN" w:bidi="ar-EG"/>
        </w:rPr>
        <w:t>N; non-frail, PF; pre-frail, F; frail,ABI; Ankle Brachial Index, Max.CIMT; Maximum Carotid Intima Media Thickness, AAD; Abdominal Aortic Diameter</w:t>
      </w:r>
      <w:r w:rsidRPr="00DE22D0">
        <w:rPr>
          <w:rFonts w:ascii="Times New Roman" w:eastAsia="SimSun" w:hAnsi="Times New Roman" w:cs="Times New Roman"/>
          <w:sz w:val="20"/>
          <w:szCs w:val="20"/>
          <w:lang w:eastAsia="zh-CN" w:bidi="ar-EG"/>
        </w:rPr>
        <w:t>.</w:t>
      </w:r>
    </w:p>
    <w:p w:rsidR="00DE22D0" w:rsidRPr="00DE22D0" w:rsidRDefault="00DE22D0" w:rsidP="00DE22D0">
      <w:pPr>
        <w:tabs>
          <w:tab w:val="left" w:pos="1119"/>
        </w:tabs>
        <w:spacing w:after="0" w:line="240" w:lineRule="auto"/>
        <w:jc w:val="both"/>
        <w:rPr>
          <w:rFonts w:ascii="Times New Roman" w:hAnsi="Times New Roman" w:cs="Times New Roman"/>
          <w:b/>
          <w:bCs/>
          <w:sz w:val="24"/>
          <w:szCs w:val="24"/>
        </w:rPr>
      </w:pPr>
    </w:p>
    <w:p w:rsidR="00C023B7" w:rsidRPr="00DE22D0" w:rsidRDefault="00C023B7" w:rsidP="00DE22D0">
      <w:pPr>
        <w:tabs>
          <w:tab w:val="left" w:pos="1119"/>
        </w:tabs>
        <w:spacing w:after="0" w:line="240" w:lineRule="auto"/>
        <w:jc w:val="both"/>
        <w:rPr>
          <w:rFonts w:ascii="Times New Roman" w:hAnsi="Times New Roman" w:cs="Times New Roman"/>
          <w:spacing w:val="2"/>
          <w:sz w:val="26"/>
          <w:szCs w:val="26"/>
          <w:shd w:val="clear" w:color="auto" w:fill="FCFCFC"/>
        </w:rPr>
      </w:pPr>
      <w:r w:rsidRPr="00DE22D0">
        <w:rPr>
          <w:rFonts w:ascii="Times New Roman" w:hAnsi="Times New Roman" w:cs="Times New Roman"/>
          <w:b/>
          <w:bCs/>
          <w:sz w:val="24"/>
          <w:szCs w:val="24"/>
        </w:rPr>
        <w:t>Discussion</w:t>
      </w:r>
    </w:p>
    <w:p w:rsidR="00C023B7" w:rsidRPr="00DE22D0" w:rsidRDefault="00C023B7" w:rsidP="00DE22D0">
      <w:pPr>
        <w:autoSpaceDE w:val="0"/>
        <w:autoSpaceDN w:val="0"/>
        <w:adjustRightInd w:val="0"/>
        <w:spacing w:after="0" w:line="240" w:lineRule="auto"/>
        <w:jc w:val="both"/>
        <w:rPr>
          <w:rFonts w:ascii="Times New Roman" w:hAnsi="Times New Roman" w:cs="Times New Roman"/>
          <w:kern w:val="20"/>
          <w:sz w:val="20"/>
          <w:szCs w:val="20"/>
        </w:rPr>
      </w:pPr>
      <w:r w:rsidRPr="00DE22D0">
        <w:rPr>
          <w:rFonts w:ascii="Times New Roman" w:hAnsi="Times New Roman" w:cs="Times New Roman"/>
          <w:kern w:val="20"/>
          <w:sz w:val="20"/>
          <w:szCs w:val="20"/>
        </w:rPr>
        <w:t xml:space="preserve">Frail subjects are more likely to have subclinical CVD </w:t>
      </w:r>
      <w:r w:rsidRPr="00DE22D0">
        <w:rPr>
          <w:rFonts w:ascii="Times New Roman" w:hAnsi="Times New Roman" w:cs="Times New Roman"/>
          <w:b/>
          <w:bCs/>
          <w:kern w:val="20"/>
          <w:sz w:val="20"/>
          <w:szCs w:val="20"/>
          <w:vertAlign w:val="superscript"/>
        </w:rPr>
        <w:t>(12)</w:t>
      </w:r>
      <w:r w:rsidRPr="00DE22D0">
        <w:rPr>
          <w:rFonts w:ascii="Times New Roman" w:hAnsi="Times New Roman" w:cs="Times New Roman"/>
          <w:kern w:val="20"/>
          <w:sz w:val="20"/>
          <w:szCs w:val="20"/>
        </w:rPr>
        <w:t>, and subjects with subclinical CVD are more likely to have impaired physical or mental function during the follow-up</w:t>
      </w:r>
      <w:r w:rsidRPr="00DE22D0">
        <w:rPr>
          <w:rFonts w:ascii="Times New Roman" w:hAnsi="Times New Roman" w:cs="Times New Roman"/>
          <w:b/>
          <w:bCs/>
          <w:kern w:val="20"/>
          <w:sz w:val="20"/>
          <w:szCs w:val="20"/>
          <w:vertAlign w:val="superscript"/>
        </w:rPr>
        <w:t>(28)</w:t>
      </w:r>
      <w:r w:rsidRPr="00DE22D0">
        <w:rPr>
          <w:rFonts w:ascii="Times New Roman" w:hAnsi="Times New Roman" w:cs="Times New Roman"/>
          <w:kern w:val="20"/>
          <w:sz w:val="20"/>
          <w:szCs w:val="20"/>
        </w:rPr>
        <w:t xml:space="preserve"> raising the possibility of an association between frailty and CVD risk.</w:t>
      </w:r>
    </w:p>
    <w:p w:rsidR="00DE22D0" w:rsidRPr="00DE22D0" w:rsidRDefault="00DE22D0" w:rsidP="00DE22D0">
      <w:pPr>
        <w:autoSpaceDE w:val="0"/>
        <w:autoSpaceDN w:val="0"/>
        <w:adjustRightInd w:val="0"/>
        <w:spacing w:after="0" w:line="240" w:lineRule="auto"/>
        <w:jc w:val="both"/>
        <w:rPr>
          <w:rFonts w:ascii="Times New Roman" w:hAnsi="Times New Roman" w:cs="Times New Roman"/>
          <w:kern w:val="20"/>
          <w:sz w:val="20"/>
          <w:szCs w:val="20"/>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kern w:val="20"/>
          <w:sz w:val="20"/>
          <w:szCs w:val="20"/>
        </w:rPr>
      </w:pPr>
      <w:r w:rsidRPr="00DE22D0">
        <w:rPr>
          <w:rFonts w:ascii="Times New Roman" w:hAnsi="Times New Roman" w:cs="Times New Roman"/>
          <w:kern w:val="20"/>
          <w:sz w:val="20"/>
          <w:szCs w:val="20"/>
        </w:rPr>
        <w:t>Varying degrees of frailty are common in elderly patients, but because different definitions, criteria and instruments are used, it is difficult to make simple comparisons of prevalence between studies and populations</w:t>
      </w:r>
      <w:r w:rsidRPr="00DE22D0">
        <w:rPr>
          <w:rFonts w:ascii="Times New Roman" w:hAnsi="Times New Roman" w:cs="Times New Roman"/>
          <w:b/>
          <w:bCs/>
          <w:kern w:val="20"/>
          <w:sz w:val="20"/>
          <w:szCs w:val="20"/>
          <w:vertAlign w:val="superscript"/>
        </w:rPr>
        <w:t>(29,30)</w:t>
      </w:r>
      <w:r w:rsidRPr="00DE22D0">
        <w:rPr>
          <w:rFonts w:ascii="Times New Roman" w:hAnsi="Times New Roman" w:cs="Times New Roman"/>
          <w:kern w:val="20"/>
          <w:sz w:val="20"/>
          <w:szCs w:val="20"/>
        </w:rPr>
        <w:t>, and according to previous studies, the prevalence of frailty in community-dwelling elderly adults varies from 4.0% to 59.1%</w:t>
      </w:r>
      <w:r w:rsidRPr="00DE22D0">
        <w:rPr>
          <w:rFonts w:ascii="Times New Roman" w:hAnsi="Times New Roman" w:cs="Times New Roman"/>
          <w:b/>
          <w:bCs/>
          <w:kern w:val="20"/>
          <w:sz w:val="20"/>
          <w:szCs w:val="20"/>
          <w:vertAlign w:val="superscript"/>
        </w:rPr>
        <w:t>(30-32)</w:t>
      </w:r>
      <w:r w:rsidRPr="00DE22D0">
        <w:rPr>
          <w:rFonts w:ascii="Times New Roman" w:hAnsi="Times New Roman" w:cs="Times New Roman"/>
          <w:kern w:val="20"/>
          <w:sz w:val="20"/>
          <w:szCs w:val="20"/>
        </w:rPr>
        <w:t>. In the current study,frailty was found in 46 (51.11%) subjects, while pre-frailty was found in 20 (22.22%) subjects. The remaining 24 (26.67%) subjects were non-frail. The prevalence of frailty in our study population was higher than most of reported prevalence in previous epidemiological studies. This could be related to the fact that this study is hospital-based.</w:t>
      </w:r>
    </w:p>
    <w:p w:rsidR="00DE22D0" w:rsidRPr="00DE22D0" w:rsidRDefault="00DE22D0" w:rsidP="00DE22D0">
      <w:pPr>
        <w:autoSpaceDE w:val="0"/>
        <w:autoSpaceDN w:val="0"/>
        <w:adjustRightInd w:val="0"/>
        <w:spacing w:after="0" w:line="240" w:lineRule="auto"/>
        <w:jc w:val="both"/>
        <w:rPr>
          <w:rFonts w:ascii="Times New Roman" w:hAnsi="Times New Roman" w:cs="Times New Roman"/>
          <w:kern w:val="20"/>
          <w:sz w:val="20"/>
          <w:szCs w:val="20"/>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kern w:val="20"/>
          <w:sz w:val="20"/>
          <w:szCs w:val="20"/>
        </w:rPr>
      </w:pPr>
      <w:r w:rsidRPr="00DE22D0">
        <w:rPr>
          <w:rFonts w:ascii="Times New Roman" w:hAnsi="Times New Roman" w:cs="Times New Roman"/>
          <w:kern w:val="20"/>
          <w:sz w:val="20"/>
          <w:szCs w:val="20"/>
        </w:rPr>
        <w:t xml:space="preserve">Concerning the socio-demographic characteristics of study groups, the mean age was 69.9±8.8, 64.5±4.1 and 64.5 ± 4.2 years in frail, pre-frail and non-frail groups consequently. Our study revealed a significant increase in mean age of frail participants compared to pre-frail and non-frail participants with no significant difference between pre-frails and non-frails. This supports the results obtained by many other studies that reported a significant association between age and frailty </w:t>
      </w:r>
      <w:r w:rsidRPr="00DE22D0">
        <w:rPr>
          <w:rFonts w:ascii="Times New Roman" w:hAnsi="Times New Roman" w:cs="Times New Roman"/>
          <w:b/>
          <w:bCs/>
          <w:kern w:val="20"/>
          <w:sz w:val="20"/>
          <w:szCs w:val="20"/>
          <w:vertAlign w:val="superscript"/>
        </w:rPr>
        <w:t>(33-36)</w:t>
      </w:r>
      <w:r w:rsidRPr="00DE22D0">
        <w:rPr>
          <w:rFonts w:ascii="Times New Roman" w:hAnsi="Times New Roman" w:cs="Times New Roman"/>
          <w:kern w:val="20"/>
          <w:sz w:val="20"/>
          <w:szCs w:val="20"/>
        </w:rPr>
        <w:t>; this association mostly due to age-related loss of muscle and bone mass, reduced nutritional intake, low physical activity and associated comorbidities. Bergman et al. 2007 found that aging had no effect on frailty and this may be due to the heterogeneity of functional decline observed with chronological aging, and the fact that chronological age alone is only a rough proxy of a person’s vulnerability to adverse outcomes</w:t>
      </w:r>
      <w:r w:rsidRPr="00DE22D0">
        <w:rPr>
          <w:rFonts w:ascii="Times New Roman" w:hAnsi="Times New Roman" w:cs="Times New Roman"/>
          <w:b/>
          <w:bCs/>
          <w:kern w:val="20"/>
          <w:sz w:val="20"/>
          <w:szCs w:val="20"/>
          <w:vertAlign w:val="superscript"/>
        </w:rPr>
        <w:t>(37)</w:t>
      </w:r>
      <w:r w:rsidRPr="00DE22D0">
        <w:rPr>
          <w:rFonts w:ascii="Times New Roman" w:hAnsi="Times New Roman" w:cs="Times New Roman"/>
          <w:kern w:val="20"/>
          <w:sz w:val="20"/>
          <w:szCs w:val="20"/>
        </w:rPr>
        <w:t>. Some people appear to be frail at the age of 70 years, whereas others only reach this state in their 90s</w:t>
      </w:r>
      <w:r w:rsidRPr="00DE22D0">
        <w:rPr>
          <w:rFonts w:ascii="Times New Roman" w:hAnsi="Times New Roman" w:cs="Times New Roman"/>
          <w:b/>
          <w:bCs/>
          <w:kern w:val="20"/>
          <w:sz w:val="20"/>
          <w:szCs w:val="20"/>
          <w:vertAlign w:val="superscript"/>
        </w:rPr>
        <w:t>(37)</w:t>
      </w:r>
      <w:r w:rsidRPr="00DE22D0">
        <w:rPr>
          <w:rFonts w:ascii="Times New Roman" w:hAnsi="Times New Roman" w:cs="Times New Roman"/>
          <w:kern w:val="20"/>
          <w:sz w:val="20"/>
          <w:szCs w:val="20"/>
        </w:rPr>
        <w:t>.</w:t>
      </w:r>
    </w:p>
    <w:p w:rsidR="00DE22D0" w:rsidRPr="00DE22D0" w:rsidRDefault="00DE22D0" w:rsidP="00DE22D0">
      <w:pPr>
        <w:autoSpaceDE w:val="0"/>
        <w:autoSpaceDN w:val="0"/>
        <w:adjustRightInd w:val="0"/>
        <w:spacing w:after="0" w:line="240" w:lineRule="auto"/>
        <w:jc w:val="both"/>
        <w:rPr>
          <w:rFonts w:ascii="Times New Roman" w:hAnsi="Times New Roman" w:cs="Times New Roman"/>
          <w:kern w:val="20"/>
          <w:sz w:val="20"/>
          <w:szCs w:val="20"/>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kern w:val="20"/>
          <w:sz w:val="20"/>
          <w:szCs w:val="20"/>
        </w:rPr>
      </w:pPr>
      <w:r w:rsidRPr="00DE22D0">
        <w:rPr>
          <w:rFonts w:ascii="Times New Roman" w:hAnsi="Times New Roman" w:cs="Times New Roman"/>
          <w:kern w:val="20"/>
          <w:sz w:val="20"/>
          <w:szCs w:val="20"/>
        </w:rPr>
        <w:t>Regarding educational level, we found that illiteracy was significantly higher among frail participants compared to pre-frail and non-frail groups. A similar conclusion was reached in a cohort study of Espinoza et al. 2012 who observed an association between low schooling levels and the onset of new cases of frailty</w:t>
      </w:r>
      <w:r w:rsidRPr="00DE22D0">
        <w:rPr>
          <w:rFonts w:ascii="Times New Roman" w:hAnsi="Times New Roman" w:cs="Times New Roman"/>
          <w:b/>
          <w:bCs/>
          <w:kern w:val="20"/>
          <w:sz w:val="20"/>
          <w:szCs w:val="20"/>
          <w:vertAlign w:val="superscript"/>
        </w:rPr>
        <w:t>(38)</w:t>
      </w:r>
      <w:r w:rsidRPr="00DE22D0">
        <w:rPr>
          <w:rFonts w:ascii="Times New Roman" w:hAnsi="Times New Roman" w:cs="Times New Roman"/>
          <w:kern w:val="20"/>
          <w:sz w:val="20"/>
          <w:szCs w:val="20"/>
        </w:rPr>
        <w:t>. Hoogendijk et al. 2014 also reached the same conclusion; that those older adults with a low educational level had higher odds of being frail compared with those with a high educational level</w:t>
      </w:r>
      <w:r w:rsidRPr="00DE22D0">
        <w:rPr>
          <w:rFonts w:ascii="Times New Roman" w:hAnsi="Times New Roman" w:cs="Times New Roman"/>
          <w:b/>
          <w:bCs/>
          <w:kern w:val="20"/>
          <w:sz w:val="20"/>
          <w:szCs w:val="20"/>
          <w:vertAlign w:val="superscript"/>
        </w:rPr>
        <w:t>(39)</w:t>
      </w:r>
      <w:r w:rsidRPr="00DE22D0">
        <w:rPr>
          <w:rFonts w:ascii="Times New Roman" w:hAnsi="Times New Roman" w:cs="Times New Roman"/>
          <w:kern w:val="20"/>
          <w:sz w:val="20"/>
          <w:szCs w:val="20"/>
        </w:rPr>
        <w:t xml:space="preserve">. Explanatory factors of this result may be related to lower income, self-efficacy, cognitive impairment, obesity, and other social factors.  </w:t>
      </w:r>
    </w:p>
    <w:p w:rsidR="00DE22D0" w:rsidRPr="00DE22D0" w:rsidRDefault="00DE22D0" w:rsidP="00DE22D0">
      <w:pPr>
        <w:autoSpaceDE w:val="0"/>
        <w:autoSpaceDN w:val="0"/>
        <w:adjustRightInd w:val="0"/>
        <w:spacing w:after="0" w:line="240" w:lineRule="auto"/>
        <w:jc w:val="both"/>
        <w:rPr>
          <w:rFonts w:ascii="Times New Roman" w:hAnsi="Times New Roman" w:cs="Times New Roman"/>
          <w:kern w:val="20"/>
          <w:sz w:val="20"/>
          <w:szCs w:val="20"/>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kern w:val="20"/>
          <w:sz w:val="20"/>
          <w:szCs w:val="20"/>
        </w:rPr>
      </w:pPr>
      <w:r w:rsidRPr="00DE22D0">
        <w:rPr>
          <w:rFonts w:ascii="Times New Roman" w:hAnsi="Times New Roman" w:cs="Times New Roman"/>
          <w:kern w:val="20"/>
          <w:sz w:val="20"/>
          <w:szCs w:val="20"/>
        </w:rPr>
        <w:t>Many studies found controversy regarding the effect of smoking on frailty, the prospective study of Chamberlain et al. 2016 found that, behavioral factors including smoking were significantly associated with frailty in those aged 60-69 and 70-79 years</w:t>
      </w:r>
      <w:r w:rsidRPr="00DE22D0">
        <w:rPr>
          <w:rFonts w:ascii="Times New Roman" w:hAnsi="Times New Roman" w:cs="Times New Roman"/>
          <w:b/>
          <w:bCs/>
          <w:kern w:val="20"/>
          <w:sz w:val="20"/>
          <w:szCs w:val="20"/>
          <w:vertAlign w:val="superscript"/>
        </w:rPr>
        <w:t>(40)</w:t>
      </w:r>
      <w:r w:rsidRPr="00DE22D0">
        <w:rPr>
          <w:rFonts w:ascii="Times New Roman" w:hAnsi="Times New Roman" w:cs="Times New Roman"/>
          <w:kern w:val="20"/>
          <w:sz w:val="20"/>
          <w:szCs w:val="20"/>
        </w:rPr>
        <w:t>. On the other hand, Gobbens and vanAssen 2016 in their retrospective studyreported that the lifestyle factors including less smoking did not improve the prediction of total frailty</w:t>
      </w:r>
      <w:r w:rsidRPr="00DE22D0">
        <w:rPr>
          <w:rFonts w:ascii="Times New Roman" w:hAnsi="Times New Roman" w:cs="Times New Roman"/>
          <w:b/>
          <w:bCs/>
          <w:kern w:val="20"/>
          <w:sz w:val="20"/>
          <w:szCs w:val="20"/>
          <w:vertAlign w:val="superscript"/>
        </w:rPr>
        <w:t>(41)</w:t>
      </w:r>
      <w:r w:rsidRPr="00DE22D0">
        <w:rPr>
          <w:rFonts w:ascii="Times New Roman" w:hAnsi="Times New Roman" w:cs="Times New Roman"/>
          <w:kern w:val="20"/>
          <w:sz w:val="20"/>
          <w:szCs w:val="20"/>
        </w:rPr>
        <w:t>. Also Chang et al. 2012 in their analytical study using data from the Women's Health and Aging Studies (WHAS) I and II found that smoking status did not differ significantly among the participants classified according to frailty status</w:t>
      </w:r>
      <w:r w:rsidRPr="00DE22D0">
        <w:rPr>
          <w:rFonts w:ascii="Times New Roman" w:hAnsi="Times New Roman" w:cs="Times New Roman"/>
          <w:b/>
          <w:bCs/>
          <w:kern w:val="20"/>
          <w:sz w:val="20"/>
          <w:szCs w:val="20"/>
          <w:vertAlign w:val="superscript"/>
        </w:rPr>
        <w:t>(42)</w:t>
      </w:r>
      <w:r w:rsidRPr="00DE22D0">
        <w:rPr>
          <w:rFonts w:ascii="Times New Roman" w:hAnsi="Times New Roman" w:cs="Times New Roman"/>
          <w:kern w:val="20"/>
          <w:sz w:val="20"/>
          <w:szCs w:val="20"/>
        </w:rPr>
        <w:t>. Our study found no significant difference between study groups as regards smoking habit.</w:t>
      </w:r>
    </w:p>
    <w:p w:rsidR="00DE22D0" w:rsidRPr="00DE22D0" w:rsidRDefault="00DE22D0" w:rsidP="00DE22D0">
      <w:pPr>
        <w:autoSpaceDE w:val="0"/>
        <w:autoSpaceDN w:val="0"/>
        <w:adjustRightInd w:val="0"/>
        <w:spacing w:after="0" w:line="240" w:lineRule="auto"/>
        <w:jc w:val="both"/>
        <w:rPr>
          <w:rFonts w:ascii="Times New Roman" w:hAnsi="Times New Roman" w:cs="Times New Roman"/>
          <w:kern w:val="20"/>
          <w:sz w:val="20"/>
          <w:szCs w:val="20"/>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kern w:val="20"/>
          <w:sz w:val="20"/>
          <w:szCs w:val="20"/>
        </w:rPr>
      </w:pPr>
      <w:r w:rsidRPr="00DE22D0">
        <w:rPr>
          <w:rFonts w:ascii="Times New Roman" w:hAnsi="Times New Roman" w:cs="Times New Roman"/>
          <w:kern w:val="20"/>
          <w:sz w:val="20"/>
          <w:szCs w:val="20"/>
        </w:rPr>
        <w:t>Regarding peripheral arterial disease and its association with frailty status, our study revealed that the ABI was inversely related to frailty status as frail participants had lower mean ABI than pre-frail and non-frail groups. This finding was also seen in a cross-sectional community-based study consisted of 1036 individuals carried out by Lin et al. 2015 revealed that frailty syndrome in the elderly is associated with subclinical peripheral arterial disease indicated using the ABI. As walking performance is one of the indicators of frailty and can be associated with peripheral vascular disease</w:t>
      </w:r>
      <w:r w:rsidRPr="00DE22D0">
        <w:rPr>
          <w:rFonts w:ascii="Times New Roman" w:hAnsi="Times New Roman" w:cs="Times New Roman"/>
          <w:b/>
          <w:bCs/>
          <w:kern w:val="20"/>
          <w:sz w:val="20"/>
          <w:szCs w:val="20"/>
          <w:vertAlign w:val="superscript"/>
        </w:rPr>
        <w:t>(43)</w:t>
      </w:r>
      <w:r w:rsidRPr="00DE22D0">
        <w:rPr>
          <w:rFonts w:ascii="Times New Roman" w:hAnsi="Times New Roman" w:cs="Times New Roman"/>
          <w:kern w:val="20"/>
          <w:sz w:val="20"/>
          <w:szCs w:val="20"/>
        </w:rPr>
        <w:t>.</w:t>
      </w:r>
    </w:p>
    <w:p w:rsidR="00DE22D0" w:rsidRPr="00DE22D0" w:rsidRDefault="00DE22D0" w:rsidP="00DE22D0">
      <w:pPr>
        <w:autoSpaceDE w:val="0"/>
        <w:autoSpaceDN w:val="0"/>
        <w:adjustRightInd w:val="0"/>
        <w:spacing w:after="0" w:line="240" w:lineRule="auto"/>
        <w:jc w:val="both"/>
        <w:rPr>
          <w:rFonts w:ascii="Times New Roman" w:hAnsi="Times New Roman" w:cs="Times New Roman"/>
          <w:kern w:val="20"/>
          <w:sz w:val="20"/>
          <w:szCs w:val="20"/>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kern w:val="20"/>
          <w:sz w:val="20"/>
          <w:szCs w:val="20"/>
        </w:rPr>
      </w:pPr>
      <w:r w:rsidRPr="00DE22D0">
        <w:rPr>
          <w:rFonts w:ascii="Times New Roman" w:hAnsi="Times New Roman" w:cs="Times New Roman"/>
          <w:kern w:val="20"/>
          <w:sz w:val="20"/>
          <w:szCs w:val="20"/>
        </w:rPr>
        <w:t>Singh et al. 2012in their study using data from the National Health and Nutritional Examination Survey observed that prevalence of frailty in participants with low ABI was higher than in participants with normal ABI</w:t>
      </w:r>
      <w:r w:rsidRPr="00DE22D0">
        <w:rPr>
          <w:rFonts w:ascii="Times New Roman" w:hAnsi="Times New Roman" w:cs="Times New Roman"/>
          <w:b/>
          <w:bCs/>
          <w:kern w:val="20"/>
          <w:sz w:val="20"/>
          <w:szCs w:val="20"/>
          <w:vertAlign w:val="superscript"/>
        </w:rPr>
        <w:t>(44)</w:t>
      </w:r>
      <w:r w:rsidRPr="00DE22D0">
        <w:rPr>
          <w:rFonts w:ascii="Times New Roman" w:hAnsi="Times New Roman" w:cs="Times New Roman"/>
          <w:kern w:val="20"/>
          <w:sz w:val="20"/>
          <w:szCs w:val="20"/>
        </w:rPr>
        <w:t xml:space="preserve">. </w:t>
      </w:r>
    </w:p>
    <w:p w:rsidR="00DE22D0" w:rsidRPr="00DE22D0" w:rsidRDefault="00DE22D0" w:rsidP="00DE22D0">
      <w:pPr>
        <w:autoSpaceDE w:val="0"/>
        <w:autoSpaceDN w:val="0"/>
        <w:adjustRightInd w:val="0"/>
        <w:spacing w:after="0" w:line="240" w:lineRule="auto"/>
        <w:jc w:val="both"/>
        <w:rPr>
          <w:rFonts w:ascii="Times New Roman" w:hAnsi="Times New Roman" w:cs="Times New Roman"/>
          <w:kern w:val="20"/>
          <w:sz w:val="20"/>
          <w:szCs w:val="20"/>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kern w:val="20"/>
          <w:sz w:val="20"/>
          <w:szCs w:val="20"/>
        </w:rPr>
      </w:pPr>
      <w:r w:rsidRPr="00DE22D0">
        <w:rPr>
          <w:rFonts w:ascii="Times New Roman" w:hAnsi="Times New Roman" w:cs="Times New Roman"/>
          <w:kern w:val="20"/>
          <w:sz w:val="20"/>
          <w:szCs w:val="20"/>
        </w:rPr>
        <w:t>The current study showed that frail and pre-frail participants had higher CIMT than non-frail group. That means these patients are at a higher risk for peripheral arterial diseases, cerebrovascular events and vascular complications compared with the non-frail group. This was also observed by Elbaz et al. 2005,in their sub-analysis from the three-City Study in the Dijon center, which showed that those who had slow gait speed were more likely to have carotid intimal media thickening and silent carotid plaques</w:t>
      </w:r>
      <w:r w:rsidRPr="00DE22D0">
        <w:rPr>
          <w:rFonts w:ascii="Times New Roman" w:hAnsi="Times New Roman" w:cs="Times New Roman"/>
          <w:b/>
          <w:bCs/>
          <w:kern w:val="20"/>
          <w:sz w:val="20"/>
          <w:szCs w:val="20"/>
          <w:vertAlign w:val="superscript"/>
        </w:rPr>
        <w:t>(45)</w:t>
      </w:r>
      <w:r w:rsidRPr="00DE22D0">
        <w:rPr>
          <w:rFonts w:ascii="Times New Roman" w:hAnsi="Times New Roman" w:cs="Times New Roman"/>
          <w:kern w:val="20"/>
          <w:sz w:val="20"/>
          <w:szCs w:val="20"/>
        </w:rPr>
        <w:t>. A similar conclusion was reached in a cohort study of Newman et al. 2001 who reported that mean internal carotid IMT increased from 1.31 mm in the non-frail to 1.42 mm in the intermediate group and 1.51 mm in the frail group</w:t>
      </w:r>
      <w:r w:rsidRPr="00DE22D0">
        <w:rPr>
          <w:rFonts w:ascii="Times New Roman" w:hAnsi="Times New Roman" w:cs="Times New Roman"/>
          <w:b/>
          <w:bCs/>
          <w:kern w:val="20"/>
          <w:sz w:val="20"/>
          <w:szCs w:val="20"/>
          <w:vertAlign w:val="superscript"/>
        </w:rPr>
        <w:t>(12)</w:t>
      </w:r>
      <w:r w:rsidRPr="00DE22D0">
        <w:rPr>
          <w:rFonts w:ascii="Times New Roman" w:hAnsi="Times New Roman" w:cs="Times New Roman"/>
          <w:kern w:val="20"/>
          <w:sz w:val="20"/>
          <w:szCs w:val="20"/>
        </w:rPr>
        <w:t>.Avila-Funes et al. 2014also concluded in their cross-sectional study that there is an independent association between carotid IMT and frailty</w:t>
      </w:r>
      <w:r w:rsidRPr="00DE22D0">
        <w:rPr>
          <w:rFonts w:ascii="Times New Roman" w:hAnsi="Times New Roman" w:cs="Times New Roman"/>
          <w:b/>
          <w:bCs/>
          <w:kern w:val="20"/>
          <w:sz w:val="20"/>
          <w:szCs w:val="20"/>
          <w:vertAlign w:val="superscript"/>
        </w:rPr>
        <w:t>(46)</w:t>
      </w:r>
      <w:r w:rsidRPr="00DE22D0">
        <w:rPr>
          <w:rFonts w:ascii="Times New Roman" w:hAnsi="Times New Roman" w:cs="Times New Roman"/>
          <w:kern w:val="20"/>
          <w:sz w:val="20"/>
          <w:szCs w:val="20"/>
        </w:rPr>
        <w:t>. This association between carotid structure changes and frailty suggests that frail elderly adults have early atherosclerosis and vascular damage, which may explain, at least partly, why several adverse health-related outcomes are frequently observed in frail elderly adults.</w:t>
      </w:r>
    </w:p>
    <w:p w:rsidR="00DE22D0" w:rsidRPr="00DE22D0" w:rsidRDefault="00DE22D0" w:rsidP="00DE22D0">
      <w:pPr>
        <w:autoSpaceDE w:val="0"/>
        <w:autoSpaceDN w:val="0"/>
        <w:adjustRightInd w:val="0"/>
        <w:spacing w:after="0" w:line="240" w:lineRule="auto"/>
        <w:jc w:val="both"/>
        <w:rPr>
          <w:rFonts w:ascii="Times New Roman" w:hAnsi="Times New Roman" w:cs="Times New Roman"/>
          <w:kern w:val="20"/>
          <w:sz w:val="20"/>
          <w:szCs w:val="20"/>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kern w:val="20"/>
          <w:sz w:val="20"/>
          <w:szCs w:val="20"/>
        </w:rPr>
      </w:pPr>
      <w:r w:rsidRPr="00DE22D0">
        <w:rPr>
          <w:rFonts w:ascii="Times New Roman" w:hAnsi="Times New Roman" w:cs="Times New Roman"/>
          <w:kern w:val="20"/>
          <w:sz w:val="20"/>
          <w:szCs w:val="20"/>
        </w:rPr>
        <w:t>Regarding the relation between abdominal aortic diameter and frailty,</w:t>
      </w:r>
      <w:hyperlink r:id="rId15" w:history="1">
        <w:r w:rsidRPr="00DE22D0">
          <w:rPr>
            <w:rStyle w:val="Hyperlink"/>
            <w:rFonts w:ascii="Times New Roman" w:hAnsi="Times New Roman" w:cs="Times New Roman"/>
            <w:kern w:val="20"/>
            <w:sz w:val="20"/>
            <w:szCs w:val="20"/>
          </w:rPr>
          <w:t xml:space="preserve"> Laughlin</w:t>
        </w:r>
      </w:hyperlink>
      <w:r w:rsidRPr="00DE22D0">
        <w:rPr>
          <w:rFonts w:ascii="Times New Roman" w:hAnsi="Times New Roman" w:cs="Times New Roman"/>
          <w:kern w:val="20"/>
          <w:sz w:val="20"/>
          <w:szCs w:val="20"/>
        </w:rPr>
        <w:t>et al. 2011 in their cross-sectional study suggest a link between subclinical atherosclerotic disease and enlargement of the abdominal aortic diameter</w:t>
      </w:r>
      <w:r w:rsidRPr="00DE22D0">
        <w:rPr>
          <w:rFonts w:ascii="Times New Roman" w:hAnsi="Times New Roman" w:cs="Times New Roman"/>
          <w:b/>
          <w:bCs/>
          <w:kern w:val="20"/>
          <w:sz w:val="20"/>
          <w:szCs w:val="20"/>
          <w:vertAlign w:val="superscript"/>
        </w:rPr>
        <w:t>(47)</w:t>
      </w:r>
      <w:r w:rsidRPr="00DE22D0">
        <w:rPr>
          <w:rFonts w:ascii="Times New Roman" w:hAnsi="Times New Roman" w:cs="Times New Roman"/>
          <w:kern w:val="20"/>
          <w:sz w:val="20"/>
          <w:szCs w:val="20"/>
        </w:rPr>
        <w:t>.</w:t>
      </w:r>
      <w:r w:rsidRPr="00DE22D0">
        <w:rPr>
          <w:rFonts w:ascii="Times New Roman" w:hAnsi="Times New Roman" w:cs="Times New Roman"/>
          <w:kern w:val="20"/>
          <w:sz w:val="20"/>
          <w:szCs w:val="20"/>
          <w:lang w:val="en-IE"/>
        </w:rPr>
        <w:t>To our knowledge, no previous studies exist on the association between</w:t>
      </w:r>
      <w:r w:rsidRPr="00DE22D0">
        <w:rPr>
          <w:rFonts w:ascii="Times New Roman" w:hAnsi="Times New Roman" w:cs="Times New Roman"/>
          <w:kern w:val="20"/>
          <w:sz w:val="20"/>
          <w:szCs w:val="20"/>
        </w:rPr>
        <w:t xml:space="preserve"> abdominal aortic diameter and frailty. The current study showed that mean AAD increased from 19.88 mm in the non-frail to 20.40 mm in the pre-frail group and 21.17 mm in the frail group. But this difference still not reaching a statistical significance (p value=0.161), this may be related to the selection criteria of our participants as we investigated those who are asymptomatic for cardiovascular diseases.</w:t>
      </w:r>
    </w:p>
    <w:p w:rsidR="00DE22D0" w:rsidRPr="00DE22D0" w:rsidRDefault="00DE22D0" w:rsidP="00DE22D0">
      <w:pPr>
        <w:autoSpaceDE w:val="0"/>
        <w:autoSpaceDN w:val="0"/>
        <w:adjustRightInd w:val="0"/>
        <w:spacing w:after="0" w:line="240" w:lineRule="auto"/>
        <w:jc w:val="both"/>
        <w:rPr>
          <w:rFonts w:ascii="Times New Roman" w:hAnsi="Times New Roman" w:cs="Times New Roman"/>
          <w:kern w:val="20"/>
          <w:sz w:val="20"/>
          <w:szCs w:val="20"/>
          <w:lang w:val="en-IE"/>
        </w:rPr>
      </w:pPr>
    </w:p>
    <w:p w:rsidR="00C023B7" w:rsidRPr="00DE22D0" w:rsidRDefault="00C023B7" w:rsidP="00DE22D0">
      <w:pPr>
        <w:autoSpaceDE w:val="0"/>
        <w:autoSpaceDN w:val="0"/>
        <w:adjustRightInd w:val="0"/>
        <w:spacing w:after="0" w:line="240" w:lineRule="auto"/>
        <w:jc w:val="both"/>
        <w:rPr>
          <w:rFonts w:ascii="Times New Roman" w:hAnsi="Times New Roman" w:cs="Times New Roman"/>
          <w:sz w:val="20"/>
          <w:szCs w:val="20"/>
          <w:lang w:val="en-GB"/>
        </w:rPr>
      </w:pPr>
      <w:r w:rsidRPr="00DE22D0">
        <w:rPr>
          <w:rFonts w:ascii="Times New Roman" w:hAnsi="Times New Roman" w:cs="Times New Roman"/>
          <w:b/>
          <w:bCs/>
          <w:sz w:val="24"/>
          <w:szCs w:val="24"/>
        </w:rPr>
        <w:t>Conclusion</w:t>
      </w:r>
    </w:p>
    <w:p w:rsidR="00C023B7" w:rsidRPr="00DE22D0" w:rsidRDefault="00C023B7" w:rsidP="00DE22D0">
      <w:pPr>
        <w:autoSpaceDE w:val="0"/>
        <w:autoSpaceDN w:val="0"/>
        <w:adjustRightInd w:val="0"/>
        <w:spacing w:after="0" w:line="240" w:lineRule="auto"/>
        <w:jc w:val="both"/>
        <w:rPr>
          <w:rFonts w:ascii="Times New Roman" w:hAnsi="Times New Roman" w:cs="Times New Roman"/>
          <w:sz w:val="20"/>
          <w:szCs w:val="20"/>
        </w:rPr>
      </w:pPr>
      <w:r w:rsidRPr="00DE22D0">
        <w:rPr>
          <w:rFonts w:ascii="Times New Roman" w:hAnsi="Times New Roman" w:cs="Times New Roman"/>
          <w:sz w:val="20"/>
          <w:szCs w:val="20"/>
        </w:rPr>
        <w:t xml:space="preserve">Prevalence of frailty in our study group was 51.11%, while pre-frailty was 22.22%. </w:t>
      </w:r>
    </w:p>
    <w:p w:rsidR="00DE22D0" w:rsidRPr="00DE22D0" w:rsidRDefault="00DE22D0" w:rsidP="00DE22D0">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FB3F95" w:rsidRPr="00DE22D0" w:rsidRDefault="00C023B7" w:rsidP="00DE22D0">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DE22D0">
        <w:rPr>
          <w:rFonts w:ascii="Times New Roman" w:hAnsi="Times New Roman" w:cs="Times New Roman"/>
          <w:sz w:val="20"/>
          <w:szCs w:val="20"/>
        </w:rPr>
        <w:t>Frailty is associated with advanced age and lower educational level. Frailty is associated with lower means of ABI, higher CIMT values and higher mean of AAD despite not reaching a significant level; which means that there is an association between frailty and subclinical atherosclerosis.</w:t>
      </w:r>
      <w:r w:rsidR="00FB3F95" w:rsidRPr="00DE22D0">
        <w:rPr>
          <w:rFonts w:ascii="Times New Roman" w:hAnsi="Times New Roman" w:cs="Times New Roman"/>
          <w:color w:val="000000" w:themeColor="text1"/>
          <w:sz w:val="20"/>
          <w:szCs w:val="20"/>
        </w:rPr>
        <w:t>.</w:t>
      </w:r>
    </w:p>
    <w:p w:rsidR="00FB3F95" w:rsidRPr="00DE22D0" w:rsidRDefault="00FB3F95" w:rsidP="00DE22D0">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A25A6" w:rsidRPr="00DE22D0" w:rsidRDefault="00FB3F95" w:rsidP="00DE22D0">
      <w:pPr>
        <w:spacing w:after="0" w:line="240" w:lineRule="auto"/>
        <w:rPr>
          <w:rFonts w:ascii="Times New Roman" w:hAnsi="Times New Roman" w:cs="Times New Roman"/>
          <w:b/>
          <w:bCs/>
          <w:color w:val="000000" w:themeColor="text1"/>
          <w:sz w:val="24"/>
          <w:szCs w:val="24"/>
        </w:rPr>
      </w:pPr>
      <w:r w:rsidRPr="00DE22D0">
        <w:rPr>
          <w:rFonts w:ascii="Times New Roman" w:hAnsi="Times New Roman" w:cs="Times New Roman"/>
          <w:b/>
          <w:color w:val="000000" w:themeColor="text1"/>
          <w:sz w:val="24"/>
          <w:szCs w:val="24"/>
        </w:rPr>
        <w:t>References</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Bergman H, Ferrucci L, Guralnik J et al. (2007): Frailty: an emerging research and clinical paradigm-issues and controversies. J. Gerontol. A Biol. Sci. Med.;62:731–737.</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 xml:space="preserve">Fried L, Walston J and Ferrucci L (2009): Frailty. InHazzard's Geriatric Medicine and Gerontology, Sixth Edition. </w:t>
      </w:r>
      <w:hyperlink r:id="rId16" w:history="1">
        <w:r w:rsidRPr="00DE22D0">
          <w:rPr>
            <w:rStyle w:val="Hyperlink"/>
            <w:rFonts w:ascii="Times New Roman" w:hAnsi="Times New Roman" w:cs="Times New Roman"/>
            <w:sz w:val="20"/>
            <w:szCs w:val="20"/>
          </w:rPr>
          <w:t>Halter</w:t>
        </w:r>
      </w:hyperlink>
      <w:r w:rsidRPr="00DE22D0">
        <w:rPr>
          <w:rFonts w:ascii="Times New Roman" w:hAnsi="Times New Roman" w:cs="Times New Roman"/>
          <w:sz w:val="20"/>
          <w:szCs w:val="20"/>
        </w:rPr>
        <w:t xml:space="preserve"> J, </w:t>
      </w:r>
      <w:hyperlink r:id="rId17" w:history="1">
        <w:r w:rsidRPr="00DE22D0">
          <w:rPr>
            <w:rStyle w:val="Hyperlink"/>
            <w:rFonts w:ascii="Times New Roman" w:hAnsi="Times New Roman" w:cs="Times New Roman"/>
            <w:sz w:val="20"/>
            <w:szCs w:val="20"/>
          </w:rPr>
          <w:t>Ouslander</w:t>
        </w:r>
      </w:hyperlink>
      <w:r w:rsidRPr="00DE22D0">
        <w:rPr>
          <w:rFonts w:ascii="Times New Roman" w:hAnsi="Times New Roman" w:cs="Times New Roman"/>
          <w:sz w:val="20"/>
          <w:szCs w:val="20"/>
        </w:rPr>
        <w:t>J, </w:t>
      </w:r>
      <w:hyperlink r:id="rId18" w:history="1">
        <w:r w:rsidRPr="00DE22D0">
          <w:rPr>
            <w:rStyle w:val="Hyperlink"/>
            <w:rFonts w:ascii="Times New Roman" w:hAnsi="Times New Roman" w:cs="Times New Roman"/>
            <w:sz w:val="20"/>
            <w:szCs w:val="20"/>
          </w:rPr>
          <w:t>Tinetti</w:t>
        </w:r>
      </w:hyperlink>
      <w:r w:rsidRPr="00DE22D0">
        <w:rPr>
          <w:rFonts w:ascii="Times New Roman" w:hAnsi="Times New Roman" w:cs="Times New Roman"/>
          <w:sz w:val="20"/>
          <w:szCs w:val="20"/>
        </w:rPr>
        <w:t xml:space="preserve"> M  et al., New York: McGraw-Hill:631-646.</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Fried L, Tangen C, Walston J et al., (2001): Frailty in older adults: evidence for a phenotype. Journals of Gerontology: Series A: Biological Sciences and Medical Sciences; 56(3):146–156.</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Song X, Mitnitski A and Rockwood K (2010): Prevalence and 10-year outcomes of frailty in older adults in relation to deficit accumulation. J Am GeriatrSoc; 58:681–687.</w:t>
      </w:r>
    </w:p>
    <w:p w:rsidR="00DE22D0" w:rsidRPr="00DE22D0" w:rsidRDefault="00A1376B"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hyperlink r:id="rId19" w:history="1">
        <w:r w:rsidR="00DE22D0" w:rsidRPr="00DE22D0">
          <w:rPr>
            <w:rStyle w:val="Hyperlink"/>
            <w:rFonts w:ascii="Times New Roman" w:hAnsi="Times New Roman" w:cs="Times New Roman"/>
            <w:sz w:val="20"/>
            <w:szCs w:val="20"/>
          </w:rPr>
          <w:t>Buckinx</w:t>
        </w:r>
      </w:hyperlink>
      <w:r w:rsidR="00DE22D0" w:rsidRPr="00DE22D0">
        <w:rPr>
          <w:rFonts w:ascii="Times New Roman" w:hAnsi="Times New Roman" w:cs="Times New Roman"/>
          <w:sz w:val="20"/>
          <w:szCs w:val="20"/>
        </w:rPr>
        <w:t xml:space="preserve"> F, </w:t>
      </w:r>
      <w:hyperlink r:id="rId20" w:history="1">
        <w:r w:rsidR="00DE22D0" w:rsidRPr="00DE22D0">
          <w:rPr>
            <w:rStyle w:val="Hyperlink"/>
            <w:rFonts w:ascii="Times New Roman" w:hAnsi="Times New Roman" w:cs="Times New Roman"/>
            <w:sz w:val="20"/>
            <w:szCs w:val="20"/>
          </w:rPr>
          <w:t xml:space="preserve"> Rolland</w:t>
        </w:r>
      </w:hyperlink>
      <w:r w:rsidR="00DE22D0" w:rsidRPr="00DE22D0">
        <w:rPr>
          <w:rFonts w:ascii="Times New Roman" w:hAnsi="Times New Roman" w:cs="Times New Roman"/>
          <w:sz w:val="20"/>
          <w:szCs w:val="20"/>
        </w:rPr>
        <w:t xml:space="preserve"> Y, </w:t>
      </w:r>
      <w:hyperlink r:id="rId21" w:history="1">
        <w:r w:rsidR="00DE22D0" w:rsidRPr="00DE22D0">
          <w:rPr>
            <w:rStyle w:val="Hyperlink"/>
            <w:rFonts w:ascii="Times New Roman" w:hAnsi="Times New Roman" w:cs="Times New Roman"/>
            <w:sz w:val="20"/>
            <w:szCs w:val="20"/>
          </w:rPr>
          <w:t>Reginster</w:t>
        </w:r>
      </w:hyperlink>
      <w:r w:rsidR="00DE22D0" w:rsidRPr="00DE22D0">
        <w:rPr>
          <w:rFonts w:ascii="Times New Roman" w:hAnsi="Times New Roman" w:cs="Times New Roman"/>
          <w:sz w:val="20"/>
          <w:szCs w:val="20"/>
        </w:rPr>
        <w:t xml:space="preserve"> J, et al., (2015):  Burden of frailty in the elderly population: perspectives for a public health challenge Arch Public Health; 73(1): 19.</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Alonso-Bouzón, C., Carcaillon, L., García-García, F. J, et al., (2014): Association between endothelial dysfunction and frailty: the Toledo Study for Healthy Aging. Age; 36(1), 495–505.</w:t>
      </w:r>
    </w:p>
    <w:p w:rsidR="00DE22D0" w:rsidRPr="00DE22D0" w:rsidRDefault="00A1376B"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hyperlink r:id="rId22" w:history="1">
        <w:r w:rsidR="00DE22D0" w:rsidRPr="00DE22D0">
          <w:rPr>
            <w:rStyle w:val="Hyperlink"/>
            <w:rFonts w:ascii="Times New Roman" w:hAnsi="Times New Roman" w:cs="Times New Roman"/>
            <w:sz w:val="20"/>
            <w:szCs w:val="20"/>
          </w:rPr>
          <w:t>Leong BD</w:t>
        </w:r>
      </w:hyperlink>
      <w:r w:rsidR="00DE22D0" w:rsidRPr="00DE22D0">
        <w:rPr>
          <w:rFonts w:ascii="Times New Roman" w:hAnsi="Times New Roman" w:cs="Times New Roman"/>
          <w:sz w:val="20"/>
          <w:szCs w:val="20"/>
        </w:rPr>
        <w:t xml:space="preserve">, </w:t>
      </w:r>
      <w:hyperlink r:id="rId23" w:history="1">
        <w:r w:rsidR="00DE22D0" w:rsidRPr="00DE22D0">
          <w:rPr>
            <w:rStyle w:val="Hyperlink"/>
            <w:rFonts w:ascii="Times New Roman" w:hAnsi="Times New Roman" w:cs="Times New Roman"/>
            <w:sz w:val="20"/>
            <w:szCs w:val="20"/>
          </w:rPr>
          <w:t>Ariffin AZ</w:t>
        </w:r>
      </w:hyperlink>
      <w:r w:rsidR="00DE22D0" w:rsidRPr="00DE22D0">
        <w:rPr>
          <w:rFonts w:ascii="Times New Roman" w:hAnsi="Times New Roman" w:cs="Times New Roman"/>
          <w:sz w:val="20"/>
          <w:szCs w:val="20"/>
        </w:rPr>
        <w:t xml:space="preserve">, </w:t>
      </w:r>
      <w:hyperlink r:id="rId24" w:history="1">
        <w:r w:rsidR="00DE22D0" w:rsidRPr="00DE22D0">
          <w:rPr>
            <w:rStyle w:val="Hyperlink"/>
            <w:rFonts w:ascii="Times New Roman" w:hAnsi="Times New Roman" w:cs="Times New Roman"/>
            <w:sz w:val="20"/>
            <w:szCs w:val="20"/>
          </w:rPr>
          <w:t>Chuah JA</w:t>
        </w:r>
      </w:hyperlink>
      <w:r w:rsidR="00DE22D0" w:rsidRPr="00DE22D0">
        <w:rPr>
          <w:rFonts w:ascii="Times New Roman" w:hAnsi="Times New Roman" w:cs="Times New Roman"/>
          <w:sz w:val="20"/>
          <w:szCs w:val="20"/>
        </w:rPr>
        <w:t xml:space="preserve">, et al (2013): Prevalence of Peripheral Arterial Disease and Abdominal Aortic Aneurysm among Patients with Acute Coronary Syndrome. </w:t>
      </w:r>
      <w:hyperlink r:id="rId25" w:tooltip="The Medical journal of Malaysia." w:history="1">
        <w:r w:rsidR="00DE22D0" w:rsidRPr="00DE22D0">
          <w:rPr>
            <w:rStyle w:val="Hyperlink"/>
            <w:rFonts w:ascii="Times New Roman" w:hAnsi="Times New Roman" w:cs="Times New Roman"/>
            <w:sz w:val="20"/>
            <w:szCs w:val="20"/>
          </w:rPr>
          <w:t>Med J Malaysia.</w:t>
        </w:r>
      </w:hyperlink>
      <w:r w:rsidR="00DE22D0" w:rsidRPr="00DE22D0">
        <w:rPr>
          <w:rFonts w:ascii="Times New Roman" w:hAnsi="Times New Roman" w:cs="Times New Roman"/>
          <w:sz w:val="20"/>
          <w:szCs w:val="20"/>
        </w:rPr>
        <w:t>;68(1):10-2.</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Sohaib A, Swati G and Minakshi D. (2012): Predictors of atherosclerosis in rheumatoid arthritis. Vasa;41:353–59</w:t>
      </w:r>
      <w:r w:rsidRPr="00DE22D0">
        <w:rPr>
          <w:rFonts w:ascii="Times New Roman" w:hAnsi="Times New Roman" w:cs="Times New Roman"/>
          <w:sz w:val="20"/>
          <w:szCs w:val="20"/>
          <w:rtl/>
        </w:rPr>
        <w:t>.</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Mookadam F, Moustafa SE, Lester SJ, et al., (2010): Subclinical atherosclerosis</w:t>
      </w:r>
      <w:r w:rsidRPr="00DE22D0">
        <w:rPr>
          <w:rFonts w:ascii="Times New Roman" w:hAnsi="Times New Roman" w:cs="Times New Roman"/>
          <w:sz w:val="20"/>
          <w:szCs w:val="20"/>
          <w:rtl/>
        </w:rPr>
        <w:t>:</w:t>
      </w:r>
      <w:r w:rsidRPr="00DE22D0">
        <w:rPr>
          <w:rFonts w:ascii="Times New Roman" w:hAnsi="Times New Roman" w:cs="Times New Roman"/>
          <w:sz w:val="20"/>
          <w:szCs w:val="20"/>
        </w:rPr>
        <w:t xml:space="preserve"> evolving role of carotid intima media thickness</w:t>
      </w:r>
      <w:r w:rsidRPr="00DE22D0">
        <w:rPr>
          <w:rFonts w:ascii="Times New Roman" w:hAnsi="Times New Roman" w:cs="Times New Roman"/>
          <w:sz w:val="20"/>
          <w:szCs w:val="20"/>
          <w:rtl/>
        </w:rPr>
        <w:t>.</w:t>
      </w:r>
      <w:r w:rsidRPr="00DE22D0">
        <w:rPr>
          <w:rFonts w:ascii="Times New Roman" w:hAnsi="Times New Roman" w:cs="Times New Roman"/>
          <w:sz w:val="20"/>
          <w:szCs w:val="20"/>
        </w:rPr>
        <w:t>Prev Cardiol;13:186–97</w:t>
      </w:r>
      <w:r w:rsidRPr="00DE22D0">
        <w:rPr>
          <w:rFonts w:ascii="Times New Roman" w:hAnsi="Times New Roman" w:cs="Times New Roman"/>
          <w:sz w:val="20"/>
          <w:szCs w:val="20"/>
          <w:rtl/>
        </w:rPr>
        <w:t>.</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Greenland P, Alpert JS, Beller GA, et al., (2010): ACCF/AHA guideline for assessment of cardiovascular risk in asymptomatic adults: a report of the American College of Cardiology Foundation/American Heart Association Task Force on Practice Guidelines. J Am Coll Cardiol;56(25):e50</w:t>
      </w:r>
      <w:r w:rsidRPr="00DE22D0">
        <w:rPr>
          <w:rFonts w:ascii="Times New Roman" w:hAnsi="Times New Roman" w:cs="Times New Roman"/>
          <w:sz w:val="20"/>
          <w:szCs w:val="20"/>
          <w:rtl/>
        </w:rPr>
        <w:t>–</w:t>
      </w:r>
      <w:r w:rsidRPr="00DE22D0">
        <w:rPr>
          <w:rFonts w:ascii="Times New Roman" w:hAnsi="Times New Roman" w:cs="Times New Roman"/>
          <w:sz w:val="20"/>
          <w:szCs w:val="20"/>
        </w:rPr>
        <w:t>103.</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Stein JH, Korcarz CE, Hurst RT, et al., (2008): Use of carotid ultrasound to identify subclinical vascular disease and evaluate cardiovascular disease risk: a consensus statement from the American Society of Echocardiography Carotid Intima-Media Thickness Task Force. Endorsed by the Society for Vascular Medicine. J Am SocEchocardiogr; 21(2):93–111.</w:t>
      </w:r>
    </w:p>
    <w:p w:rsidR="00DE22D0" w:rsidRPr="00DE22D0" w:rsidRDefault="00DE22D0" w:rsidP="00DE22D0">
      <w:pPr>
        <w:numPr>
          <w:ilvl w:val="0"/>
          <w:numId w:val="8"/>
        </w:numPr>
        <w:autoSpaceDE w:val="0"/>
        <w:autoSpaceDN w:val="0"/>
        <w:adjustRightInd w:val="0"/>
        <w:spacing w:after="0" w:line="240" w:lineRule="auto"/>
        <w:jc w:val="both"/>
        <w:rPr>
          <w:rFonts w:ascii="Times New Roman" w:hAnsi="Times New Roman" w:cs="Times New Roman"/>
          <w:sz w:val="20"/>
          <w:szCs w:val="20"/>
        </w:rPr>
      </w:pPr>
      <w:r w:rsidRPr="00DE22D0">
        <w:rPr>
          <w:rFonts w:ascii="Times New Roman" w:hAnsi="Times New Roman" w:cs="Times New Roman"/>
          <w:sz w:val="20"/>
          <w:szCs w:val="20"/>
        </w:rPr>
        <w:t>Newman AB, Gottdiener JS, McBurnie MA, et al., (2001): Associations of subclinical cardiovascular disease with frailty. J Gerontol A BiolSci Med Sci; 56(3):M158-M166.</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Kälsch H, Lehmann N, Mohlenkamp S et al., (2013): Body-surface adjusted aortic reference diameters for improved identification of patients with thoracic aortic aneurysms: results from the population-based Heinz Nixdorf Recall study. Int J Cardiol; 163:72–78.</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Rogers IS, Massaro JM, Truong QA et al., (2013): Distribution, determinants, and normal reference values of thoracic and abdominal aortic diameters by computed tomography (from the Framingham Heart Study). Am J Cardiol; 111:1510–1516.</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lang w:bidi="ar-EG"/>
        </w:rPr>
      </w:pPr>
      <w:r w:rsidRPr="00DE22D0">
        <w:rPr>
          <w:rFonts w:ascii="Times New Roman" w:hAnsi="Times New Roman" w:cs="Times New Roman"/>
          <w:sz w:val="20"/>
          <w:szCs w:val="20"/>
        </w:rPr>
        <w:t xml:space="preserve">Fried, L., Kronmal, R., Newman, A., et al. (1998): Risk Factors for 5 Year Mortality in Older Adults: The Cardiovascular </w:t>
      </w:r>
      <w:r w:rsidRPr="00DE22D0">
        <w:rPr>
          <w:rFonts w:ascii="Times New Roman" w:hAnsi="Times New Roman" w:cs="Times New Roman"/>
          <w:sz w:val="20"/>
          <w:szCs w:val="20"/>
          <w:lang w:bidi="ar-EG"/>
        </w:rPr>
        <w:t>Health Study. The Journal of t</w:t>
      </w:r>
      <w:r w:rsidRPr="00DE22D0">
        <w:rPr>
          <w:rFonts w:ascii="Times New Roman" w:hAnsi="Times New Roman" w:cs="Times New Roman"/>
          <w:sz w:val="20"/>
          <w:szCs w:val="20"/>
        </w:rPr>
        <w:t>he American Medical Association; 279:</w:t>
      </w:r>
      <w:r w:rsidRPr="00DE22D0">
        <w:rPr>
          <w:rFonts w:ascii="Times New Roman" w:hAnsi="Times New Roman" w:cs="Times New Roman"/>
          <w:sz w:val="20"/>
          <w:szCs w:val="20"/>
          <w:lang w:bidi="ar-EG"/>
        </w:rPr>
        <w:t xml:space="preserve"> 585-592</w:t>
      </w:r>
      <w:r w:rsidRPr="00DE22D0">
        <w:rPr>
          <w:rFonts w:ascii="Times New Roman" w:hAnsi="Times New Roman" w:cs="Times New Roman"/>
          <w:sz w:val="20"/>
          <w:szCs w:val="20"/>
          <w:rtl/>
          <w:lang w:bidi="ar-EG"/>
        </w:rPr>
        <w:t>.</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lang w:bidi="ar-EG"/>
        </w:rPr>
      </w:pPr>
      <w:r w:rsidRPr="00DE22D0">
        <w:rPr>
          <w:rFonts w:ascii="Times New Roman" w:hAnsi="Times New Roman" w:cs="Times New Roman"/>
          <w:sz w:val="20"/>
          <w:szCs w:val="20"/>
        </w:rPr>
        <w:t xml:space="preserve">Avila-Funes, J.A., Helmer, C., Amieva, H., et al. (2008): Frailty among Community-Dwelling Elderly People in France </w:t>
      </w:r>
      <w:r w:rsidRPr="00DE22D0">
        <w:rPr>
          <w:rFonts w:ascii="Times New Roman" w:hAnsi="Times New Roman" w:cs="Times New Roman"/>
          <w:sz w:val="20"/>
          <w:szCs w:val="20"/>
          <w:lang w:bidi="ar-EG"/>
        </w:rPr>
        <w:t>The Three-Cit</w:t>
      </w:r>
      <w:r w:rsidRPr="00DE22D0">
        <w:rPr>
          <w:rFonts w:ascii="Times New Roman" w:hAnsi="Times New Roman" w:cs="Times New Roman"/>
          <w:sz w:val="20"/>
          <w:szCs w:val="20"/>
        </w:rPr>
        <w:t>y Study: Journal of Gerontology.</w:t>
      </w:r>
      <w:r w:rsidRPr="00DE22D0">
        <w:rPr>
          <w:rFonts w:ascii="Times New Roman" w:hAnsi="Times New Roman" w:cs="Times New Roman"/>
          <w:sz w:val="20"/>
          <w:szCs w:val="20"/>
          <w:lang w:bidi="ar-EG"/>
        </w:rPr>
        <w:t xml:space="preserve"> Medical Sciences by the Ge</w:t>
      </w:r>
      <w:r w:rsidRPr="00DE22D0">
        <w:rPr>
          <w:rFonts w:ascii="Times New Roman" w:hAnsi="Times New Roman" w:cs="Times New Roman"/>
          <w:sz w:val="20"/>
          <w:szCs w:val="20"/>
        </w:rPr>
        <w:t>rontological Society of America; 63</w:t>
      </w:r>
      <w:r w:rsidRPr="00DE22D0">
        <w:rPr>
          <w:rFonts w:ascii="Times New Roman" w:hAnsi="Times New Roman" w:cs="Times New Roman"/>
          <w:sz w:val="20"/>
          <w:szCs w:val="20"/>
          <w:rtl/>
          <w:lang w:bidi="ar-EG"/>
        </w:rPr>
        <w:t>:</w:t>
      </w:r>
      <w:r w:rsidRPr="00DE22D0">
        <w:rPr>
          <w:rFonts w:ascii="Times New Roman" w:hAnsi="Times New Roman" w:cs="Times New Roman"/>
          <w:sz w:val="20"/>
          <w:szCs w:val="20"/>
          <w:lang w:bidi="ar-EG"/>
        </w:rPr>
        <w:t>1089-1096.</w:t>
      </w:r>
    </w:p>
    <w:p w:rsidR="00DE22D0" w:rsidRPr="00DE22D0" w:rsidRDefault="00A1376B"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hyperlink r:id="rId26" w:history="1">
        <w:r w:rsidR="00DE22D0" w:rsidRPr="00DE22D0">
          <w:rPr>
            <w:rStyle w:val="Hyperlink"/>
            <w:rFonts w:ascii="Times New Roman" w:hAnsi="Times New Roman" w:cs="Times New Roman"/>
            <w:sz w:val="20"/>
            <w:szCs w:val="20"/>
          </w:rPr>
          <w:t>Folstein MF</w:t>
        </w:r>
      </w:hyperlink>
      <w:r w:rsidR="00DE22D0" w:rsidRPr="00DE22D0">
        <w:rPr>
          <w:rFonts w:ascii="Times New Roman" w:hAnsi="Times New Roman" w:cs="Times New Roman"/>
          <w:sz w:val="20"/>
          <w:szCs w:val="20"/>
        </w:rPr>
        <w:t xml:space="preserve">, </w:t>
      </w:r>
      <w:hyperlink r:id="rId27" w:history="1">
        <w:r w:rsidR="00DE22D0" w:rsidRPr="00DE22D0">
          <w:rPr>
            <w:rStyle w:val="Hyperlink"/>
            <w:rFonts w:ascii="Times New Roman" w:hAnsi="Times New Roman" w:cs="Times New Roman"/>
            <w:sz w:val="20"/>
            <w:szCs w:val="20"/>
          </w:rPr>
          <w:t>Folstein SE</w:t>
        </w:r>
      </w:hyperlink>
      <w:r w:rsidR="00DE22D0" w:rsidRPr="00DE22D0">
        <w:rPr>
          <w:rFonts w:ascii="Times New Roman" w:hAnsi="Times New Roman" w:cs="Times New Roman"/>
          <w:sz w:val="20"/>
          <w:szCs w:val="20"/>
        </w:rPr>
        <w:t xml:space="preserve">, </w:t>
      </w:r>
      <w:hyperlink r:id="rId28" w:history="1">
        <w:r w:rsidR="00DE22D0" w:rsidRPr="00DE22D0">
          <w:rPr>
            <w:rStyle w:val="Hyperlink"/>
            <w:rFonts w:ascii="Times New Roman" w:hAnsi="Times New Roman" w:cs="Times New Roman"/>
            <w:sz w:val="20"/>
            <w:szCs w:val="20"/>
          </w:rPr>
          <w:t>McHugh PR</w:t>
        </w:r>
      </w:hyperlink>
      <w:r w:rsidR="00DE22D0" w:rsidRPr="00DE22D0">
        <w:rPr>
          <w:rFonts w:ascii="Times New Roman" w:hAnsi="Times New Roman" w:cs="Times New Roman"/>
          <w:sz w:val="20"/>
          <w:szCs w:val="20"/>
        </w:rPr>
        <w:t xml:space="preserve"> (1975): "Mini-mental state". A practical method for grading the cognitive state of patients for the clinician. J Psychiatr Res;12(3):189-98.</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El Okl MA (2002): Prevalence of Alzheimer dementia and other causes of dementia in Egyptian elderly. MD thesis, Faculty of Medicine, Ain Shams University.</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Katz S, Ford A, Moswowitz R et al. (1963): Studies of illness in the aged. The index of ADL: Standardized measure of biological and psychological function. JAMA; 185-914.</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El-Sherpiny M, Mortagy A and Fahy H (2000): Prevalence of hypercholesterolemia among elderly people living in nursing houses in Cairo. Ain Shams University: geriatric department library; pp6.</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Lawton M and Brody E (1969): Assessment of older people: Self-maintaining and instrumental activities of daily living. The Gerontologist; 9(3):179-86.</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Fillenbaum G (1986): The wellbeing of the Elderly: Approaches to Multi-Dimensional Assessment. World Health Organization, WHO Offset Publication No 84. Arabic translation Distributed by the Eastern Mediterranean Regional Office. ISBN-139789246700844.</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Sheikh J and Yesavage J (1986): Geriatric Depression Scale (GDS): recent evidence and development of a shorter version. Clin Gerontol;5(1/2):165-173.</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Shehta A S, El-Banouby M H, Mortagy A K and Ghanem M (1998): Prevalence of depression among Egyptian geriatric community. Ain Shams University: geriatric department library; 3-5.</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Orme, J., Reis, J. and Herz, E. (1986): Factorial and Discriminate Validity of the Center for Epidemiological Studies Depression (CES-D) Scale. Journal of Clinical Psychology; 42, 28-33.</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KalvaSP., and Mueller PR. (2008): Vascular imaging in the elderly. RadiolClin N Am 46;663–683.</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Grenon SM, Gagnon J and Hsiang Y (2009): Ankle–Brachial Index for Assessment of Peripheral Arterial Disease. N Engl J Med; 361: e 40.</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lang w:val="da-DK"/>
        </w:rPr>
      </w:pPr>
      <w:r w:rsidRPr="00DE22D0">
        <w:rPr>
          <w:rFonts w:ascii="Times New Roman" w:hAnsi="Times New Roman" w:cs="Times New Roman"/>
          <w:sz w:val="20"/>
          <w:szCs w:val="20"/>
        </w:rPr>
        <w:t>Newman AB, Arnold AM, Naydeck BL et al. (2003): Successful Aging. Effect of subclinical cardiovascular disease. Arch Intern Med;163 (19):2315-2322.</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Singh M, Alexander K, Roger VL,et al., (2008): Frailty and its potential relevance to cardiovascular care. Mayo Clin Proc;83:1146–1153.</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Collard RM, Boter H, Schoevers RA, et al., (2012): Prevalence of frailty in community-dwelling older persons: a systematic review. J Am GeriatrSoc; 60:1487–92.</w:t>
      </w:r>
    </w:p>
    <w:p w:rsidR="00DE22D0" w:rsidRPr="00DE22D0" w:rsidRDefault="00DE22D0" w:rsidP="00DE22D0">
      <w:pPr>
        <w:numPr>
          <w:ilvl w:val="0"/>
          <w:numId w:val="8"/>
        </w:numPr>
        <w:autoSpaceDE w:val="0"/>
        <w:autoSpaceDN w:val="0"/>
        <w:adjustRightInd w:val="0"/>
        <w:spacing w:after="0" w:line="240" w:lineRule="auto"/>
        <w:jc w:val="both"/>
        <w:rPr>
          <w:rFonts w:ascii="Times New Roman" w:hAnsi="Times New Roman" w:cs="Times New Roman"/>
          <w:sz w:val="20"/>
          <w:szCs w:val="20"/>
        </w:rPr>
      </w:pPr>
      <w:r w:rsidRPr="00DE22D0">
        <w:rPr>
          <w:rFonts w:ascii="Times New Roman" w:hAnsi="Times New Roman" w:cs="Times New Roman"/>
          <w:sz w:val="20"/>
          <w:szCs w:val="20"/>
        </w:rPr>
        <w:t>Cawthon PM, Marshall LM, Michael Y, et al., (2007): Frailty in older men: prevalence, progression, and relationship with mortality.</w:t>
      </w:r>
      <w:r w:rsidRPr="00DE22D0">
        <w:rPr>
          <w:rFonts w:ascii="Times New Roman" w:hAnsi="Times New Roman" w:cs="Times New Roman"/>
          <w:sz w:val="20"/>
          <w:szCs w:val="20"/>
        </w:rPr>
        <w:tab/>
        <w:t>J Am GeriatrSoc; 55(8):1216-23.</w:t>
      </w:r>
    </w:p>
    <w:p w:rsidR="00DE22D0" w:rsidRPr="00DE22D0" w:rsidRDefault="00DE22D0" w:rsidP="00DE22D0">
      <w:pPr>
        <w:numPr>
          <w:ilvl w:val="0"/>
          <w:numId w:val="8"/>
        </w:numPr>
        <w:autoSpaceDE w:val="0"/>
        <w:autoSpaceDN w:val="0"/>
        <w:adjustRightInd w:val="0"/>
        <w:spacing w:after="0" w:line="240" w:lineRule="auto"/>
        <w:jc w:val="both"/>
        <w:rPr>
          <w:rFonts w:ascii="Times New Roman" w:hAnsi="Times New Roman" w:cs="Times New Roman"/>
          <w:sz w:val="20"/>
          <w:szCs w:val="20"/>
        </w:rPr>
      </w:pPr>
      <w:r w:rsidRPr="00DE22D0">
        <w:rPr>
          <w:rFonts w:ascii="Times New Roman" w:hAnsi="Times New Roman" w:cs="Times New Roman"/>
          <w:sz w:val="20"/>
          <w:szCs w:val="20"/>
        </w:rPr>
        <w:t>Metzelthin SF, Daniels R, vanRossum E, et al., (2010): The psychometric properties of three self-report screening instruments for identifying frail older people in the community. BMC Public Health;10:176.</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Woods NF, Lacroix AZ, Gray SL, et al., (2005): Frailty: emergence and consequences in women aged 65 and older in the Women’s Health Initiative Observational Study. J Am Geriatr Soc;53:1321–30.</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Bilotta C, Nicolini P, Casè A, et al., (2012): Frailty syndrome diagnosed according to the Study of Osteoporotic Fractures (SOF) criteria and an adverse health outcomes among community-dwelling older outpatients in Italy. Arch GerontolGeriatr; 54(2):e23-8.</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Seleem M W, Atiyah M M, Hamed F A et al. (2012): Frality: Identification and markers. British Journal of Science; 7 (2). British Journals ISSN 2047-3745.</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Çakmur H (2015): Frailty among elderly adults in a rural area of Turkey. Med Sci Monit.;21:1232-42.</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Bergman H, Ferrucci L, Guralnik J et al. (2007): Frailty: an emerging research and clinical paradigm-issues and controversies. J. Gerontol. A Biol. Sci. Med..;62:731–737.</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Espinoza SE, Jung I, Hazuda H (2012): Frailty transitions in the San Antonio Longitudinal Study of Aging. J Am GeriatrSoc; 60(4):652-60.</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Hoogendijk EO, van Hout HP, Heymans MW, et al., (2014): Explaining the association between educational level and frailty in older adults: results from a 13-year longitudinal study in the Netherlands. Ann Epidemiol; 24(7):538-44.</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Chamberlain AM, St Sauver JL, Jacobson DJ, et al., (2016): Social and behavioural factors associated with frailty trajectories in a population-based cohort of older adults. BMJ Open; 6(5):e011410.</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Gobbens RJ and van Assen MA (2016): Explaining frailty by lifestyle. Arch Gerontol Geriatr;66:49-53.</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Chang S S, Weiss C O, Xue QL, et al., (2012): Association Between Inflammatory-related Disease Burden and Frailty: Results From the Women’s Health and Aging Studies (WHAS) I and II. Arch GerontolGeriatr ; 54(1): 9–15.</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Lin CH, Chou CY, Liu CS, et al., (2015): Association between frailty and subclinical peripheral vascular disease in a community-dwelling geriatric population: Taichung Community Health Study for Elders. GeriatrGerontol Int;15(3):261-7.</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Singh S, Bailey KR, Noheria A, et al., (2012): Frailty across the spectrum of ankle-brachial index. Angiology; 63:229–36.</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Elbaz A, Ripert M, Tavernier B, et al., (2005):  Common carotid artery intimamedia thickness, carotid plaques, and walking speed. Stroke; 36:2198–202.</w:t>
      </w:r>
    </w:p>
    <w:p w:rsidR="00DE22D0"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Avila-Funes JA1, Meillon C, González-Colaço H M, et al., (2014): Association between frailty and carotid central structure changes: the Three-City Study. J Am GeriatrSoc;  62(10):1906-11.</w:t>
      </w:r>
    </w:p>
    <w:p w:rsidR="00FB3F95" w:rsidRPr="00DE22D0" w:rsidRDefault="00DE22D0" w:rsidP="00DE22D0">
      <w:pPr>
        <w:numPr>
          <w:ilvl w:val="0"/>
          <w:numId w:val="8"/>
        </w:numPr>
        <w:autoSpaceDE w:val="0"/>
        <w:autoSpaceDN w:val="0"/>
        <w:adjustRightInd w:val="0"/>
        <w:spacing w:after="0" w:line="240" w:lineRule="auto"/>
        <w:ind w:left="426" w:hanging="426"/>
        <w:jc w:val="both"/>
        <w:rPr>
          <w:rFonts w:ascii="Times New Roman" w:hAnsi="Times New Roman" w:cs="Times New Roman"/>
          <w:sz w:val="20"/>
          <w:szCs w:val="20"/>
        </w:rPr>
      </w:pPr>
      <w:r w:rsidRPr="00DE22D0">
        <w:rPr>
          <w:rFonts w:ascii="Times New Roman" w:hAnsi="Times New Roman" w:cs="Times New Roman"/>
          <w:sz w:val="20"/>
          <w:szCs w:val="20"/>
        </w:rPr>
        <w:t>Laughlin G A,  Allison AM,  Jensky N, et al., (2011): Abdominal Aortic Diameter and Vascular Atherosclerosis: The Multi-Ethnic Study of Atherosclerosis. Eur J VascEndovascSurg; 41(4): 481–487</w:t>
      </w:r>
    </w:p>
    <w:p w:rsidR="00FB3F95" w:rsidRPr="00DE22D0" w:rsidRDefault="00FB3F95" w:rsidP="00DE22D0">
      <w:pPr>
        <w:widowControl w:val="0"/>
        <w:overflowPunct w:val="0"/>
        <w:autoSpaceDE w:val="0"/>
        <w:autoSpaceDN w:val="0"/>
        <w:adjustRightInd w:val="0"/>
        <w:spacing w:after="0" w:line="240" w:lineRule="auto"/>
        <w:ind w:left="360"/>
        <w:jc w:val="both"/>
        <w:rPr>
          <w:rFonts w:ascii="Times New Roman" w:hAnsi="Times New Roman" w:cs="Times New Roman"/>
          <w:i/>
          <w:sz w:val="20"/>
          <w:szCs w:val="20"/>
        </w:rPr>
      </w:pPr>
    </w:p>
    <w:sectPr w:rsidR="00FB3F95" w:rsidRPr="00DE22D0" w:rsidSect="00A27FE5">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76B" w:rsidRDefault="00A1376B" w:rsidP="00670B7E">
      <w:pPr>
        <w:spacing w:after="0" w:line="240" w:lineRule="auto"/>
      </w:pPr>
      <w:r>
        <w:separator/>
      </w:r>
    </w:p>
  </w:endnote>
  <w:endnote w:type="continuationSeparator" w:id="0">
    <w:p w:rsidR="00A1376B" w:rsidRDefault="00A1376B"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8E2" w:rsidRDefault="001948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C7B" w:rsidRDefault="00DB7C7B" w:rsidP="00DB7C7B">
    <w:pPr>
      <w:pStyle w:val="Footer"/>
      <w:rPr>
        <w:noProof/>
        <w:color w:val="E36C0A" w:themeColor="accent6" w:themeShade="BF"/>
        <w:sz w:val="18"/>
        <w:szCs w:val="18"/>
      </w:rPr>
    </w:pPr>
    <w:r w:rsidRPr="00144E15">
      <w:rPr>
        <w:noProof/>
        <w:color w:val="E36C0A" w:themeColor="accent6" w:themeShade="BF"/>
        <w:sz w:val="18"/>
        <w:szCs w:val="18"/>
      </w:rPr>
      <w:t>© I</w:t>
    </w:r>
    <w:r w:rsidRPr="00144E15">
      <w:rPr>
        <w:noProof/>
        <w:color w:val="595959" w:themeColor="text1" w:themeTint="A6"/>
        <w:sz w:val="18"/>
        <w:szCs w:val="18"/>
      </w:rPr>
      <w:t xml:space="preserve">ndian </w:t>
    </w:r>
    <w:r w:rsidRPr="00144E15">
      <w:rPr>
        <w:noProof/>
        <w:color w:val="E36C0A" w:themeColor="accent6" w:themeShade="BF"/>
        <w:sz w:val="18"/>
        <w:szCs w:val="18"/>
      </w:rPr>
      <w:t>J</w:t>
    </w:r>
    <w:r w:rsidRPr="00144E15">
      <w:rPr>
        <w:noProof/>
        <w:color w:val="595959" w:themeColor="text1" w:themeTint="A6"/>
        <w:sz w:val="18"/>
        <w:szCs w:val="18"/>
      </w:rPr>
      <w:t xml:space="preserve">ournal of </w:t>
    </w:r>
    <w:r w:rsidRPr="00144E15">
      <w:rPr>
        <w:noProof/>
        <w:color w:val="E36C0A" w:themeColor="accent6" w:themeShade="BF"/>
        <w:sz w:val="18"/>
        <w:szCs w:val="18"/>
      </w:rPr>
      <w:t>M</w:t>
    </w:r>
    <w:r w:rsidRPr="00144E15">
      <w:rPr>
        <w:noProof/>
        <w:color w:val="595959" w:themeColor="text1" w:themeTint="A6"/>
        <w:sz w:val="18"/>
        <w:szCs w:val="18"/>
      </w:rPr>
      <w:t xml:space="preserve">edical </w:t>
    </w:r>
    <w:r w:rsidRPr="00144E15">
      <w:rPr>
        <w:noProof/>
        <w:color w:val="E36C0A" w:themeColor="accent6" w:themeShade="BF"/>
        <w:sz w:val="18"/>
        <w:szCs w:val="18"/>
      </w:rPr>
      <w:t>R</w:t>
    </w:r>
    <w:r w:rsidRPr="00144E15">
      <w:rPr>
        <w:noProof/>
        <w:color w:val="595959" w:themeColor="text1" w:themeTint="A6"/>
        <w:sz w:val="18"/>
        <w:szCs w:val="18"/>
      </w:rPr>
      <w:t xml:space="preserve">esearch and </w:t>
    </w:r>
    <w:r w:rsidRPr="00144E15">
      <w:rPr>
        <w:noProof/>
        <w:color w:val="E36C0A" w:themeColor="accent6" w:themeShade="BF"/>
        <w:sz w:val="18"/>
        <w:szCs w:val="18"/>
      </w:rPr>
      <w:t>P</w:t>
    </w:r>
    <w:r w:rsidRPr="00144E15">
      <w:rPr>
        <w:noProof/>
        <w:color w:val="595959" w:themeColor="text1" w:themeTint="A6"/>
        <w:sz w:val="18"/>
        <w:szCs w:val="18"/>
      </w:rPr>
      <w:t xml:space="preserve">harmaceutical </w:t>
    </w:r>
    <w:r w:rsidRPr="00144E15">
      <w:rPr>
        <w:noProof/>
        <w:color w:val="E36C0A" w:themeColor="accent6" w:themeShade="BF"/>
        <w:sz w:val="18"/>
        <w:szCs w:val="18"/>
      </w:rPr>
      <w:t>S</w:t>
    </w:r>
    <w:r w:rsidRPr="00144E15">
      <w:rPr>
        <w:noProof/>
        <w:color w:val="595959" w:themeColor="text1" w:themeTint="A6"/>
        <w:sz w:val="18"/>
        <w:szCs w:val="18"/>
      </w:rPr>
      <w:t xml:space="preserve">ciences            </w:t>
    </w:r>
    <w:r>
      <w:rPr>
        <w:noProof/>
        <w:color w:val="595959" w:themeColor="text1" w:themeTint="A6"/>
        <w:sz w:val="18"/>
        <w:szCs w:val="18"/>
      </w:rPr>
      <w:tab/>
    </w:r>
    <w:hyperlink r:id="rId1" w:history="1">
      <w:r w:rsidRPr="00B80220">
        <w:rPr>
          <w:rStyle w:val="Hyperlink"/>
          <w:noProof/>
          <w:sz w:val="18"/>
          <w:szCs w:val="18"/>
        </w:rPr>
        <w:t>http://www.ijmprs.com/</w:t>
      </w:r>
    </w:hyperlink>
  </w:p>
  <w:p w:rsidR="00DB7C7B" w:rsidRPr="00DB7C7B" w:rsidRDefault="00DB7C7B" w:rsidP="00DB7C7B">
    <w:pPr>
      <w:pStyle w:val="Footer"/>
      <w:jc w:val="right"/>
      <w:rPr>
        <w:color w:val="F79646" w:themeColor="accent6"/>
      </w:rPr>
    </w:pPr>
    <w:r w:rsidRPr="00DB7C7B">
      <w:rPr>
        <w:color w:val="F79646" w:themeColor="accent6"/>
      </w:rPr>
      <w:t xml:space="preserve"> [</w:t>
    </w:r>
    <w:sdt>
      <w:sdtPr>
        <w:rPr>
          <w:color w:val="F79646" w:themeColor="accent6"/>
        </w:rPr>
        <w:id w:val="-236321721"/>
        <w:docPartObj>
          <w:docPartGallery w:val="Page Numbers (Bottom of Page)"/>
          <w:docPartUnique/>
        </w:docPartObj>
      </w:sdtPr>
      <w:sdtEndPr>
        <w:rPr>
          <w:noProof/>
        </w:rPr>
      </w:sdtEndPr>
      <w:sdtContent>
        <w:r w:rsidR="008944EA" w:rsidRPr="00DB7C7B">
          <w:rPr>
            <w:color w:val="F79646" w:themeColor="accent6"/>
          </w:rPr>
          <w:fldChar w:fldCharType="begin"/>
        </w:r>
        <w:r w:rsidRPr="00DB7C7B">
          <w:rPr>
            <w:color w:val="F79646" w:themeColor="accent6"/>
          </w:rPr>
          <w:instrText xml:space="preserve"> PAGE   \* MERGEFORMAT </w:instrText>
        </w:r>
        <w:r w:rsidR="008944EA" w:rsidRPr="00DB7C7B">
          <w:rPr>
            <w:color w:val="F79646" w:themeColor="accent6"/>
          </w:rPr>
          <w:fldChar w:fldCharType="separate"/>
        </w:r>
        <w:r w:rsidR="00A1376B">
          <w:rPr>
            <w:noProof/>
            <w:color w:val="F79646" w:themeColor="accent6"/>
          </w:rPr>
          <w:t>1</w:t>
        </w:r>
        <w:r w:rsidR="008944EA" w:rsidRPr="00DB7C7B">
          <w:rPr>
            <w:noProof/>
            <w:color w:val="F79646" w:themeColor="accent6"/>
          </w:rPr>
          <w:fldChar w:fldCharType="end"/>
        </w:r>
        <w:r w:rsidRPr="00DB7C7B">
          <w:rPr>
            <w:noProof/>
            <w:color w:val="F79646" w:themeColor="accent6"/>
          </w:rPr>
          <w:t>]</w:t>
        </w:r>
      </w:sdtContent>
    </w:sdt>
  </w:p>
  <w:p w:rsidR="00415C0C" w:rsidRPr="00DB7C7B" w:rsidRDefault="00415C0C" w:rsidP="00DB7C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8E2" w:rsidRDefault="001948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76B" w:rsidRDefault="00A1376B" w:rsidP="00670B7E">
      <w:pPr>
        <w:spacing w:after="0" w:line="240" w:lineRule="auto"/>
      </w:pPr>
      <w:r>
        <w:separator/>
      </w:r>
    </w:p>
  </w:footnote>
  <w:footnote w:type="continuationSeparator" w:id="0">
    <w:p w:rsidR="00A1376B" w:rsidRDefault="00A1376B"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A1376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3" o:spid="_x0000_s2059" type="#_x0000_t136" style="position:absolute;margin-left:0;margin-top:0;width:532.95pt;height:228.4pt;rotation:315;z-index:-251649024;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467.9pt;height:467.9pt;z-index:-251653120;mso-position-horizontal:center;mso-position-horizontal-relative:margin;mso-position-vertical:center;mso-position-vertical-relative:margin" o:allowincell="f">
          <v:imagedata r:id="rId1" o:title="add_256"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2D3" w:rsidRDefault="003F32D3" w:rsidP="003F32D3">
    <w:pPr>
      <w:pStyle w:val="Header"/>
      <w:rPr>
        <w:noProof/>
        <w:color w:val="E36C0A" w:themeColor="accent6" w:themeShade="BF"/>
        <w:sz w:val="32"/>
        <w:szCs w:val="32"/>
      </w:rPr>
    </w:pPr>
    <w:r w:rsidRPr="003F32D3">
      <w:rPr>
        <w:noProof/>
        <w:color w:val="595959" w:themeColor="text1" w:themeTint="A6"/>
        <w:sz w:val="18"/>
        <w:szCs w:val="18"/>
      </w:rPr>
      <w:t>Open Access Journal</w:t>
    </w:r>
  </w:p>
  <w:p w:rsidR="00C65109" w:rsidRDefault="00B27420" w:rsidP="003F32D3">
    <w:pPr>
      <w:pStyle w:val="Header"/>
      <w:jc w:val="center"/>
      <w:rPr>
        <w:noProof/>
        <w:color w:val="595959" w:themeColor="text1" w:themeTint="A6"/>
        <w:sz w:val="32"/>
        <w:szCs w:val="32"/>
      </w:rPr>
    </w:pPr>
    <w:r w:rsidRPr="00BC5D0F">
      <w:rPr>
        <w:noProof/>
        <w:color w:val="E36C0A" w:themeColor="accent6" w:themeShade="BF"/>
        <w:sz w:val="40"/>
        <w:szCs w:val="40"/>
      </w:rPr>
      <w:t>I</w:t>
    </w:r>
    <w:r w:rsidRPr="003F32D3">
      <w:rPr>
        <w:noProof/>
        <w:color w:val="595959" w:themeColor="text1" w:themeTint="A6"/>
        <w:sz w:val="32"/>
        <w:szCs w:val="32"/>
      </w:rPr>
      <w:t xml:space="preserve">ndian </w:t>
    </w:r>
    <w:r w:rsidRPr="00BC5D0F">
      <w:rPr>
        <w:noProof/>
        <w:color w:val="E36C0A" w:themeColor="accent6" w:themeShade="BF"/>
        <w:sz w:val="40"/>
        <w:szCs w:val="40"/>
      </w:rPr>
      <w:t>J</w:t>
    </w:r>
    <w:r w:rsidRPr="003F32D3">
      <w:rPr>
        <w:noProof/>
        <w:color w:val="595959" w:themeColor="text1" w:themeTint="A6"/>
        <w:sz w:val="32"/>
        <w:szCs w:val="32"/>
      </w:rPr>
      <w:t xml:space="preserve">ournal of </w:t>
    </w:r>
    <w:r w:rsidRPr="00BC5D0F">
      <w:rPr>
        <w:noProof/>
        <w:color w:val="E36C0A" w:themeColor="accent6" w:themeShade="BF"/>
        <w:sz w:val="40"/>
        <w:szCs w:val="40"/>
      </w:rPr>
      <w:t>M</w:t>
    </w:r>
    <w:r w:rsidRPr="003F32D3">
      <w:rPr>
        <w:noProof/>
        <w:color w:val="595959" w:themeColor="text1" w:themeTint="A6"/>
        <w:sz w:val="32"/>
        <w:szCs w:val="32"/>
      </w:rPr>
      <w:t xml:space="preserve">edical </w:t>
    </w:r>
    <w:r w:rsidRPr="00BC5D0F">
      <w:rPr>
        <w:noProof/>
        <w:color w:val="E36C0A" w:themeColor="accent6" w:themeShade="BF"/>
        <w:sz w:val="40"/>
        <w:szCs w:val="40"/>
      </w:rPr>
      <w:t>R</w:t>
    </w:r>
    <w:r w:rsidRPr="003F32D3">
      <w:rPr>
        <w:noProof/>
        <w:color w:val="595959" w:themeColor="text1" w:themeTint="A6"/>
        <w:sz w:val="32"/>
        <w:szCs w:val="32"/>
      </w:rPr>
      <w:t xml:space="preserve">esearch and </w:t>
    </w:r>
    <w:r w:rsidRPr="00BC5D0F">
      <w:rPr>
        <w:noProof/>
        <w:color w:val="E36C0A" w:themeColor="accent6" w:themeShade="BF"/>
        <w:sz w:val="40"/>
        <w:szCs w:val="40"/>
      </w:rPr>
      <w:t>P</w:t>
    </w:r>
    <w:r w:rsidRPr="003F32D3">
      <w:rPr>
        <w:noProof/>
        <w:color w:val="595959" w:themeColor="text1" w:themeTint="A6"/>
        <w:sz w:val="32"/>
        <w:szCs w:val="32"/>
      </w:rPr>
      <w:t xml:space="preserve">harmaceutical </w:t>
    </w:r>
    <w:r w:rsidRPr="00BC5D0F">
      <w:rPr>
        <w:noProof/>
        <w:color w:val="E36C0A" w:themeColor="accent6" w:themeShade="BF"/>
        <w:sz w:val="40"/>
        <w:szCs w:val="40"/>
      </w:rPr>
      <w:t>S</w:t>
    </w:r>
    <w:r w:rsidRPr="003F32D3">
      <w:rPr>
        <w:noProof/>
        <w:color w:val="595959" w:themeColor="text1" w:themeTint="A6"/>
        <w:sz w:val="32"/>
        <w:szCs w:val="32"/>
      </w:rPr>
      <w:t>ciences</w:t>
    </w:r>
  </w:p>
  <w:p w:rsidR="003F32D3" w:rsidRDefault="00C023B7" w:rsidP="003F32D3">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March</w:t>
    </w:r>
    <w:r w:rsidR="00BC5D0F" w:rsidRPr="00557C6B">
      <w:rPr>
        <w:noProof/>
        <w:color w:val="595959" w:themeColor="text1" w:themeTint="A6"/>
        <w:sz w:val="24"/>
        <w:szCs w:val="24"/>
      </w:rPr>
      <w:t xml:space="preserve"> </w:t>
    </w:r>
    <w:r>
      <w:rPr>
        <w:noProof/>
        <w:color w:val="595959" w:themeColor="text1" w:themeTint="A6"/>
        <w:sz w:val="24"/>
        <w:szCs w:val="24"/>
      </w:rPr>
      <w:t>2017</w:t>
    </w:r>
    <w:r w:rsidR="0074691A" w:rsidRPr="00557C6B">
      <w:rPr>
        <w:noProof/>
        <w:color w:val="595959" w:themeColor="text1" w:themeTint="A6"/>
        <w:sz w:val="24"/>
        <w:szCs w:val="24"/>
      </w:rPr>
      <w:t>;</w:t>
    </w:r>
    <w:r>
      <w:rPr>
        <w:noProof/>
        <w:color w:val="595959" w:themeColor="text1" w:themeTint="A6"/>
        <w:sz w:val="24"/>
        <w:szCs w:val="24"/>
      </w:rPr>
      <w:t>4</w:t>
    </w:r>
    <w:r w:rsidR="0074691A" w:rsidRPr="00557C6B">
      <w:rPr>
        <w:noProof/>
        <w:color w:val="595959" w:themeColor="text1" w:themeTint="A6"/>
        <w:sz w:val="24"/>
        <w:szCs w:val="24"/>
      </w:rPr>
      <w:t>(</w:t>
    </w:r>
    <w:r>
      <w:rPr>
        <w:noProof/>
        <w:color w:val="595959" w:themeColor="text1" w:themeTint="A6"/>
        <w:sz w:val="24"/>
        <w:szCs w:val="24"/>
      </w:rPr>
      <w:t>3</w:t>
    </w:r>
    <w:r w:rsidR="0074691A" w:rsidRPr="00557C6B">
      <w:rPr>
        <w:noProof/>
        <w:color w:val="595959" w:themeColor="text1" w:themeTint="A6"/>
        <w:sz w:val="24"/>
        <w:szCs w:val="24"/>
      </w:rPr>
      <w:t>)</w:t>
    </w:r>
    <w:r w:rsidR="003F32D3" w:rsidRPr="00BC5D0F">
      <w:rPr>
        <w:noProof/>
        <w:color w:val="595959" w:themeColor="text1" w:themeTint="A6"/>
        <w:sz w:val="24"/>
        <w:szCs w:val="24"/>
      </w:rPr>
      <w:tab/>
    </w:r>
    <w:r w:rsidR="003F32D3" w:rsidRPr="00BC5D0F">
      <w:rPr>
        <w:noProof/>
        <w:color w:val="595959" w:themeColor="text1" w:themeTint="A6"/>
        <w:sz w:val="24"/>
        <w:szCs w:val="24"/>
      </w:rPr>
      <w:tab/>
      <w:t xml:space="preserve">ISSN: </w:t>
    </w:r>
    <w:r w:rsidR="00261780" w:rsidRPr="00261780">
      <w:rPr>
        <w:noProof/>
        <w:color w:val="595959" w:themeColor="text1" w:themeTint="A6"/>
        <w:sz w:val="24"/>
        <w:szCs w:val="24"/>
      </w:rPr>
      <w:t>ISSN: 2349-5340</w:t>
    </w:r>
  </w:p>
  <w:p w:rsidR="005E1A36" w:rsidRPr="00BC5D0F" w:rsidRDefault="001948E2" w:rsidP="001948E2">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 xml:space="preserve">DOI: </w:t>
    </w:r>
    <w:r w:rsidRPr="001948E2">
      <w:rPr>
        <w:noProof/>
        <w:color w:val="595959" w:themeColor="text1" w:themeTint="A6"/>
        <w:sz w:val="24"/>
        <w:szCs w:val="24"/>
      </w:rPr>
      <w:t>10.5281/zenodo.343751</w:t>
    </w:r>
    <w:r>
      <w:rPr>
        <w:noProof/>
        <w:color w:val="595959" w:themeColor="text1" w:themeTint="A6"/>
        <w:sz w:val="24"/>
        <w:szCs w:val="24"/>
      </w:rPr>
      <w:tab/>
    </w:r>
    <w:r>
      <w:rPr>
        <w:noProof/>
        <w:color w:val="595959" w:themeColor="text1" w:themeTint="A6"/>
        <w:sz w:val="24"/>
        <w:szCs w:val="24"/>
      </w:rPr>
      <w:tab/>
    </w:r>
    <w:bookmarkStart w:id="0" w:name="_GoBack"/>
    <w:bookmarkEnd w:id="0"/>
    <w:r w:rsidR="0084502B">
      <w:rPr>
        <w:noProof/>
        <w:color w:val="595959" w:themeColor="text1" w:themeTint="A6"/>
        <w:sz w:val="24"/>
        <w:szCs w:val="24"/>
      </w:rPr>
      <w:t>Impact Factor</w:t>
    </w:r>
    <w:r w:rsidR="00564E5B" w:rsidRPr="00564E5B">
      <w:rPr>
        <w:noProof/>
        <w:color w:val="595959" w:themeColor="text1" w:themeTint="A6"/>
        <w:sz w:val="24"/>
        <w:szCs w:val="24"/>
      </w:rPr>
      <w:t xml:space="preserve">: </w:t>
    </w:r>
    <w:r w:rsidR="00670133" w:rsidRPr="00670133">
      <w:rPr>
        <w:noProof/>
        <w:color w:val="595959" w:themeColor="text1" w:themeTint="A6"/>
        <w:sz w:val="24"/>
        <w:szCs w:val="24"/>
      </w:rPr>
      <w:t>3.052</w:t>
    </w:r>
    <w:r>
      <w:rPr>
        <w:noProof/>
        <w:color w:val="595959" w:themeColor="text1" w:themeTint="A6"/>
        <w:sz w:val="24"/>
        <w:szCs w:val="24"/>
      </w:rPr>
      <w:tab/>
    </w:r>
    <w:r>
      <w:rPr>
        <w:noProof/>
        <w:color w:val="595959" w:themeColor="text1" w:themeTint="A6"/>
        <w:sz w:val="24"/>
        <w:szCs w:val="24"/>
      </w:rPr>
      <w:tab/>
    </w:r>
  </w:p>
  <w:p w:rsidR="003F32D3" w:rsidRPr="003F32D3" w:rsidRDefault="003F32D3" w:rsidP="003F32D3">
    <w:pPr>
      <w:pStyle w:val="Header"/>
      <w:rPr>
        <w:rFonts w:ascii="Times New Roman" w:hAnsi="Times New Roman" w:cs="Times New Roman"/>
        <w:noProof/>
        <w:color w:val="595959" w:themeColor="text1" w:themeTint="A6"/>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A1376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2" o:spid="_x0000_s2058" type="#_x0000_t136" style="position:absolute;margin-left:0;margin-top:0;width:532.95pt;height:228.4pt;rotation:315;z-index:-251651072;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0;margin-top:0;width:467.9pt;height:467.9pt;z-index:-251654144;mso-position-horizontal:center;mso-position-horizontal-relative:margin;mso-position-vertical:center;mso-position-vertical-relative:margin" o:allowincell="f">
          <v:imagedata r:id="rId1" o:title="add_256"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B04FC"/>
    <w:multiLevelType w:val="hybridMultilevel"/>
    <w:tmpl w:val="50F06EF2"/>
    <w:lvl w:ilvl="0" w:tplc="0409000F">
      <w:start w:val="1"/>
      <w:numFmt w:val="decimal"/>
      <w:lvlText w:val="%1."/>
      <w:lvlJc w:val="left"/>
      <w:pPr>
        <w:ind w:left="360" w:hanging="360"/>
      </w:pPr>
    </w:lvl>
    <w:lvl w:ilvl="1" w:tplc="9A124B32">
      <w:numFmt w:val="bullet"/>
      <w:lvlText w:val="•"/>
      <w:lvlJc w:val="left"/>
      <w:pPr>
        <w:ind w:left="1506" w:hanging="360"/>
      </w:pPr>
      <w:rPr>
        <w:rFonts w:ascii="Times New Roman" w:eastAsiaTheme="minorHAnsi" w:hAnsi="Times New Roman" w:cs="Times New Roman"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E281F21"/>
    <w:multiLevelType w:val="hybridMultilevel"/>
    <w:tmpl w:val="D65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61034E"/>
    <w:multiLevelType w:val="hybridMultilevel"/>
    <w:tmpl w:val="78FA8E5E"/>
    <w:lvl w:ilvl="0" w:tplc="7422DA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0C7A7E"/>
    <w:multiLevelType w:val="hybridMultilevel"/>
    <w:tmpl w:val="FF9E11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F1D53C3"/>
    <w:multiLevelType w:val="hybridMultilevel"/>
    <w:tmpl w:val="6372900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AC91F06"/>
    <w:multiLevelType w:val="hybridMultilevel"/>
    <w:tmpl w:val="A4AC0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66236C"/>
    <w:multiLevelType w:val="hybridMultilevel"/>
    <w:tmpl w:val="22EC043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6D691D44"/>
    <w:multiLevelType w:val="hybridMultilevel"/>
    <w:tmpl w:val="5D0E56B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0"/>
  </w:num>
  <w:num w:numId="5">
    <w:abstractNumId w:val="4"/>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4DD8"/>
    <w:rsid w:val="00001E27"/>
    <w:rsid w:val="000028A1"/>
    <w:rsid w:val="0000293E"/>
    <w:rsid w:val="00002ED7"/>
    <w:rsid w:val="0000313B"/>
    <w:rsid w:val="00003838"/>
    <w:rsid w:val="00004372"/>
    <w:rsid w:val="00005396"/>
    <w:rsid w:val="00005523"/>
    <w:rsid w:val="0000614B"/>
    <w:rsid w:val="00006E19"/>
    <w:rsid w:val="00006E5C"/>
    <w:rsid w:val="000104BF"/>
    <w:rsid w:val="00010D8F"/>
    <w:rsid w:val="0001103C"/>
    <w:rsid w:val="0001164E"/>
    <w:rsid w:val="0001168C"/>
    <w:rsid w:val="00011C72"/>
    <w:rsid w:val="000124F3"/>
    <w:rsid w:val="00012AD3"/>
    <w:rsid w:val="00016235"/>
    <w:rsid w:val="00017077"/>
    <w:rsid w:val="000179D7"/>
    <w:rsid w:val="00020888"/>
    <w:rsid w:val="00023A4D"/>
    <w:rsid w:val="00025028"/>
    <w:rsid w:val="0002534D"/>
    <w:rsid w:val="000261C8"/>
    <w:rsid w:val="00026628"/>
    <w:rsid w:val="00026759"/>
    <w:rsid w:val="00027623"/>
    <w:rsid w:val="00031A4A"/>
    <w:rsid w:val="00032642"/>
    <w:rsid w:val="00034F17"/>
    <w:rsid w:val="000353D2"/>
    <w:rsid w:val="00035762"/>
    <w:rsid w:val="00035A32"/>
    <w:rsid w:val="00036217"/>
    <w:rsid w:val="0003685C"/>
    <w:rsid w:val="000409B4"/>
    <w:rsid w:val="00040CCE"/>
    <w:rsid w:val="000415F6"/>
    <w:rsid w:val="00041C67"/>
    <w:rsid w:val="0004367D"/>
    <w:rsid w:val="00043A5C"/>
    <w:rsid w:val="00045762"/>
    <w:rsid w:val="00045D3D"/>
    <w:rsid w:val="0004665F"/>
    <w:rsid w:val="00050192"/>
    <w:rsid w:val="00050B53"/>
    <w:rsid w:val="000520D7"/>
    <w:rsid w:val="00052821"/>
    <w:rsid w:val="000533E9"/>
    <w:rsid w:val="0005395C"/>
    <w:rsid w:val="00054A51"/>
    <w:rsid w:val="00054ED1"/>
    <w:rsid w:val="00055321"/>
    <w:rsid w:val="00055D4C"/>
    <w:rsid w:val="000571B1"/>
    <w:rsid w:val="0005727D"/>
    <w:rsid w:val="000574C6"/>
    <w:rsid w:val="00061449"/>
    <w:rsid w:val="0006248A"/>
    <w:rsid w:val="00063054"/>
    <w:rsid w:val="000632B5"/>
    <w:rsid w:val="000640A0"/>
    <w:rsid w:val="00065274"/>
    <w:rsid w:val="0006528D"/>
    <w:rsid w:val="00067457"/>
    <w:rsid w:val="000675DA"/>
    <w:rsid w:val="0007182D"/>
    <w:rsid w:val="00072EE2"/>
    <w:rsid w:val="00074030"/>
    <w:rsid w:val="00074ABA"/>
    <w:rsid w:val="00074EA1"/>
    <w:rsid w:val="00076631"/>
    <w:rsid w:val="000768E3"/>
    <w:rsid w:val="0007706C"/>
    <w:rsid w:val="000805A8"/>
    <w:rsid w:val="00082220"/>
    <w:rsid w:val="000825FA"/>
    <w:rsid w:val="00082A0D"/>
    <w:rsid w:val="0008515B"/>
    <w:rsid w:val="00085ABC"/>
    <w:rsid w:val="00087B20"/>
    <w:rsid w:val="000914E6"/>
    <w:rsid w:val="000941D7"/>
    <w:rsid w:val="0009602E"/>
    <w:rsid w:val="00096F41"/>
    <w:rsid w:val="00097F37"/>
    <w:rsid w:val="000A012D"/>
    <w:rsid w:val="000A4109"/>
    <w:rsid w:val="000A4502"/>
    <w:rsid w:val="000A541F"/>
    <w:rsid w:val="000A56DE"/>
    <w:rsid w:val="000A7363"/>
    <w:rsid w:val="000B096A"/>
    <w:rsid w:val="000B11C2"/>
    <w:rsid w:val="000B15DA"/>
    <w:rsid w:val="000B20F7"/>
    <w:rsid w:val="000B2E4B"/>
    <w:rsid w:val="000B36E4"/>
    <w:rsid w:val="000B3848"/>
    <w:rsid w:val="000B3B00"/>
    <w:rsid w:val="000B4C92"/>
    <w:rsid w:val="000B6383"/>
    <w:rsid w:val="000B64E3"/>
    <w:rsid w:val="000B6580"/>
    <w:rsid w:val="000B7AB1"/>
    <w:rsid w:val="000C06BD"/>
    <w:rsid w:val="000C118E"/>
    <w:rsid w:val="000C1E21"/>
    <w:rsid w:val="000D0B4C"/>
    <w:rsid w:val="000D181E"/>
    <w:rsid w:val="000D254D"/>
    <w:rsid w:val="000D3608"/>
    <w:rsid w:val="000D4227"/>
    <w:rsid w:val="000D4CE7"/>
    <w:rsid w:val="000D4E95"/>
    <w:rsid w:val="000D6CDE"/>
    <w:rsid w:val="000E0181"/>
    <w:rsid w:val="000E11AF"/>
    <w:rsid w:val="000E16BE"/>
    <w:rsid w:val="000E2FD3"/>
    <w:rsid w:val="000E3610"/>
    <w:rsid w:val="000E4982"/>
    <w:rsid w:val="000E4AB9"/>
    <w:rsid w:val="000E4C8B"/>
    <w:rsid w:val="000E6490"/>
    <w:rsid w:val="000E70EE"/>
    <w:rsid w:val="000E744A"/>
    <w:rsid w:val="000F23C9"/>
    <w:rsid w:val="000F3DBB"/>
    <w:rsid w:val="000F48CE"/>
    <w:rsid w:val="000F54A9"/>
    <w:rsid w:val="000F6DF4"/>
    <w:rsid w:val="000F7583"/>
    <w:rsid w:val="000F7F5B"/>
    <w:rsid w:val="00100098"/>
    <w:rsid w:val="001003DE"/>
    <w:rsid w:val="00103679"/>
    <w:rsid w:val="001047D6"/>
    <w:rsid w:val="00104AD3"/>
    <w:rsid w:val="00104FCA"/>
    <w:rsid w:val="00105A7E"/>
    <w:rsid w:val="00106901"/>
    <w:rsid w:val="00106B1A"/>
    <w:rsid w:val="00111C40"/>
    <w:rsid w:val="0011216D"/>
    <w:rsid w:val="00113086"/>
    <w:rsid w:val="00113F44"/>
    <w:rsid w:val="00115460"/>
    <w:rsid w:val="0011563F"/>
    <w:rsid w:val="00116122"/>
    <w:rsid w:val="0011726B"/>
    <w:rsid w:val="00120217"/>
    <w:rsid w:val="00122AA6"/>
    <w:rsid w:val="00127C67"/>
    <w:rsid w:val="00127DE1"/>
    <w:rsid w:val="00130466"/>
    <w:rsid w:val="00132221"/>
    <w:rsid w:val="00133F84"/>
    <w:rsid w:val="0013623D"/>
    <w:rsid w:val="001367E6"/>
    <w:rsid w:val="00136E3F"/>
    <w:rsid w:val="00137E7F"/>
    <w:rsid w:val="00140D1D"/>
    <w:rsid w:val="0014303C"/>
    <w:rsid w:val="00143C81"/>
    <w:rsid w:val="00144810"/>
    <w:rsid w:val="0014498D"/>
    <w:rsid w:val="00144CC8"/>
    <w:rsid w:val="0014536F"/>
    <w:rsid w:val="00146BB6"/>
    <w:rsid w:val="00146F19"/>
    <w:rsid w:val="001474F4"/>
    <w:rsid w:val="001476BF"/>
    <w:rsid w:val="00147FBD"/>
    <w:rsid w:val="00150561"/>
    <w:rsid w:val="001508FD"/>
    <w:rsid w:val="00150F9E"/>
    <w:rsid w:val="00153E43"/>
    <w:rsid w:val="00155649"/>
    <w:rsid w:val="0015568C"/>
    <w:rsid w:val="00155D6D"/>
    <w:rsid w:val="00156ACD"/>
    <w:rsid w:val="001631E8"/>
    <w:rsid w:val="0016531B"/>
    <w:rsid w:val="001653D4"/>
    <w:rsid w:val="00166254"/>
    <w:rsid w:val="00166BE1"/>
    <w:rsid w:val="001673BF"/>
    <w:rsid w:val="001678CB"/>
    <w:rsid w:val="0016793F"/>
    <w:rsid w:val="00167B59"/>
    <w:rsid w:val="00170F46"/>
    <w:rsid w:val="001711B4"/>
    <w:rsid w:val="00171858"/>
    <w:rsid w:val="00171E90"/>
    <w:rsid w:val="001721BE"/>
    <w:rsid w:val="001727D2"/>
    <w:rsid w:val="0017752D"/>
    <w:rsid w:val="00180CFE"/>
    <w:rsid w:val="00181FC3"/>
    <w:rsid w:val="00181FEC"/>
    <w:rsid w:val="0018308F"/>
    <w:rsid w:val="00183556"/>
    <w:rsid w:val="00183FEA"/>
    <w:rsid w:val="001876BA"/>
    <w:rsid w:val="001900E8"/>
    <w:rsid w:val="00190CB5"/>
    <w:rsid w:val="00192413"/>
    <w:rsid w:val="001947D7"/>
    <w:rsid w:val="001948E2"/>
    <w:rsid w:val="00194953"/>
    <w:rsid w:val="0019663D"/>
    <w:rsid w:val="001A40C0"/>
    <w:rsid w:val="001A4635"/>
    <w:rsid w:val="001A46DE"/>
    <w:rsid w:val="001A4955"/>
    <w:rsid w:val="001A4A0E"/>
    <w:rsid w:val="001A6DE1"/>
    <w:rsid w:val="001A70E0"/>
    <w:rsid w:val="001A78BD"/>
    <w:rsid w:val="001A79FA"/>
    <w:rsid w:val="001A7F1E"/>
    <w:rsid w:val="001B0378"/>
    <w:rsid w:val="001B093E"/>
    <w:rsid w:val="001B1454"/>
    <w:rsid w:val="001B2ED6"/>
    <w:rsid w:val="001B4BD4"/>
    <w:rsid w:val="001B5656"/>
    <w:rsid w:val="001B6BDF"/>
    <w:rsid w:val="001B7B2B"/>
    <w:rsid w:val="001B7FD2"/>
    <w:rsid w:val="001C00CE"/>
    <w:rsid w:val="001C1DD6"/>
    <w:rsid w:val="001C3B61"/>
    <w:rsid w:val="001C5542"/>
    <w:rsid w:val="001C56D7"/>
    <w:rsid w:val="001C5974"/>
    <w:rsid w:val="001C60DF"/>
    <w:rsid w:val="001C61A0"/>
    <w:rsid w:val="001D0552"/>
    <w:rsid w:val="001D47A4"/>
    <w:rsid w:val="001D4904"/>
    <w:rsid w:val="001D76C2"/>
    <w:rsid w:val="001D7FE9"/>
    <w:rsid w:val="001E075C"/>
    <w:rsid w:val="001E1A91"/>
    <w:rsid w:val="001E2D3F"/>
    <w:rsid w:val="001E2E4E"/>
    <w:rsid w:val="001E413F"/>
    <w:rsid w:val="001E5132"/>
    <w:rsid w:val="001F077F"/>
    <w:rsid w:val="001F4847"/>
    <w:rsid w:val="001F5632"/>
    <w:rsid w:val="001F770F"/>
    <w:rsid w:val="00200C06"/>
    <w:rsid w:val="00201813"/>
    <w:rsid w:val="0020458A"/>
    <w:rsid w:val="00204F1D"/>
    <w:rsid w:val="002056D2"/>
    <w:rsid w:val="00206083"/>
    <w:rsid w:val="002063AE"/>
    <w:rsid w:val="00207385"/>
    <w:rsid w:val="00207D3D"/>
    <w:rsid w:val="0021068A"/>
    <w:rsid w:val="0021224F"/>
    <w:rsid w:val="00213C58"/>
    <w:rsid w:val="0021480F"/>
    <w:rsid w:val="0021488B"/>
    <w:rsid w:val="00214F3C"/>
    <w:rsid w:val="00214F45"/>
    <w:rsid w:val="00216CC4"/>
    <w:rsid w:val="00221514"/>
    <w:rsid w:val="00221FF7"/>
    <w:rsid w:val="00223106"/>
    <w:rsid w:val="002243C1"/>
    <w:rsid w:val="0022508A"/>
    <w:rsid w:val="00225620"/>
    <w:rsid w:val="0022605E"/>
    <w:rsid w:val="00226D76"/>
    <w:rsid w:val="00227360"/>
    <w:rsid w:val="0023065E"/>
    <w:rsid w:val="00232576"/>
    <w:rsid w:val="00233ED2"/>
    <w:rsid w:val="00234CE3"/>
    <w:rsid w:val="00234EC5"/>
    <w:rsid w:val="002352B6"/>
    <w:rsid w:val="002355F7"/>
    <w:rsid w:val="002378E1"/>
    <w:rsid w:val="00241202"/>
    <w:rsid w:val="00246108"/>
    <w:rsid w:val="00253329"/>
    <w:rsid w:val="00253F9C"/>
    <w:rsid w:val="002543AF"/>
    <w:rsid w:val="002615FC"/>
    <w:rsid w:val="00261780"/>
    <w:rsid w:val="002629D6"/>
    <w:rsid w:val="00263F1F"/>
    <w:rsid w:val="002648B1"/>
    <w:rsid w:val="00264E6E"/>
    <w:rsid w:val="00265546"/>
    <w:rsid w:val="00267665"/>
    <w:rsid w:val="002678D6"/>
    <w:rsid w:val="002704C8"/>
    <w:rsid w:val="00272F86"/>
    <w:rsid w:val="00273027"/>
    <w:rsid w:val="00275738"/>
    <w:rsid w:val="00276AF0"/>
    <w:rsid w:val="00276D02"/>
    <w:rsid w:val="0027713B"/>
    <w:rsid w:val="00277B7B"/>
    <w:rsid w:val="00280651"/>
    <w:rsid w:val="00280FA9"/>
    <w:rsid w:val="0028264D"/>
    <w:rsid w:val="00282FD0"/>
    <w:rsid w:val="00284E9D"/>
    <w:rsid w:val="00285FA9"/>
    <w:rsid w:val="0028677F"/>
    <w:rsid w:val="002872AC"/>
    <w:rsid w:val="00287D65"/>
    <w:rsid w:val="00287EE0"/>
    <w:rsid w:val="00290947"/>
    <w:rsid w:val="00290D1D"/>
    <w:rsid w:val="00291D59"/>
    <w:rsid w:val="00293850"/>
    <w:rsid w:val="00294255"/>
    <w:rsid w:val="00295A53"/>
    <w:rsid w:val="00295CD3"/>
    <w:rsid w:val="00297059"/>
    <w:rsid w:val="00297166"/>
    <w:rsid w:val="00297873"/>
    <w:rsid w:val="0029799A"/>
    <w:rsid w:val="002A0FFA"/>
    <w:rsid w:val="002A1272"/>
    <w:rsid w:val="002A1E98"/>
    <w:rsid w:val="002A2DFE"/>
    <w:rsid w:val="002A37F1"/>
    <w:rsid w:val="002A3C43"/>
    <w:rsid w:val="002A48D6"/>
    <w:rsid w:val="002A4E0B"/>
    <w:rsid w:val="002A5EAE"/>
    <w:rsid w:val="002B0672"/>
    <w:rsid w:val="002B2795"/>
    <w:rsid w:val="002B3F08"/>
    <w:rsid w:val="002B4A78"/>
    <w:rsid w:val="002B6997"/>
    <w:rsid w:val="002B778E"/>
    <w:rsid w:val="002B7E28"/>
    <w:rsid w:val="002C04D7"/>
    <w:rsid w:val="002C15B2"/>
    <w:rsid w:val="002C4948"/>
    <w:rsid w:val="002C5571"/>
    <w:rsid w:val="002C5576"/>
    <w:rsid w:val="002C6FCA"/>
    <w:rsid w:val="002D031D"/>
    <w:rsid w:val="002D03A6"/>
    <w:rsid w:val="002D12B5"/>
    <w:rsid w:val="002D1620"/>
    <w:rsid w:val="002D1D31"/>
    <w:rsid w:val="002D23D2"/>
    <w:rsid w:val="002D23F6"/>
    <w:rsid w:val="002D5353"/>
    <w:rsid w:val="002D7DE9"/>
    <w:rsid w:val="002D7F7A"/>
    <w:rsid w:val="002E0168"/>
    <w:rsid w:val="002E1112"/>
    <w:rsid w:val="002E199C"/>
    <w:rsid w:val="002E308B"/>
    <w:rsid w:val="002E31B8"/>
    <w:rsid w:val="002E345F"/>
    <w:rsid w:val="002E3766"/>
    <w:rsid w:val="002E48EF"/>
    <w:rsid w:val="002E5458"/>
    <w:rsid w:val="002E5E14"/>
    <w:rsid w:val="002F01EB"/>
    <w:rsid w:val="002F32A2"/>
    <w:rsid w:val="002F6F2B"/>
    <w:rsid w:val="002F7215"/>
    <w:rsid w:val="002F7EB1"/>
    <w:rsid w:val="00300851"/>
    <w:rsid w:val="00300EF0"/>
    <w:rsid w:val="0030253D"/>
    <w:rsid w:val="00302CD2"/>
    <w:rsid w:val="003032E7"/>
    <w:rsid w:val="00303BB7"/>
    <w:rsid w:val="00304034"/>
    <w:rsid w:val="00304B40"/>
    <w:rsid w:val="00304E23"/>
    <w:rsid w:val="00304FD9"/>
    <w:rsid w:val="00306FDC"/>
    <w:rsid w:val="00307786"/>
    <w:rsid w:val="00307970"/>
    <w:rsid w:val="00312179"/>
    <w:rsid w:val="00312CB6"/>
    <w:rsid w:val="003131AA"/>
    <w:rsid w:val="00314803"/>
    <w:rsid w:val="00317ABC"/>
    <w:rsid w:val="00320702"/>
    <w:rsid w:val="0032270E"/>
    <w:rsid w:val="00323B83"/>
    <w:rsid w:val="00324B4B"/>
    <w:rsid w:val="00324EDF"/>
    <w:rsid w:val="003256B2"/>
    <w:rsid w:val="0032696B"/>
    <w:rsid w:val="003278ED"/>
    <w:rsid w:val="00327E03"/>
    <w:rsid w:val="003306F5"/>
    <w:rsid w:val="00330C06"/>
    <w:rsid w:val="003317C2"/>
    <w:rsid w:val="00333009"/>
    <w:rsid w:val="003331B8"/>
    <w:rsid w:val="003335AB"/>
    <w:rsid w:val="0033447B"/>
    <w:rsid w:val="003344D2"/>
    <w:rsid w:val="00334705"/>
    <w:rsid w:val="00335D95"/>
    <w:rsid w:val="00336EAD"/>
    <w:rsid w:val="0034026F"/>
    <w:rsid w:val="0034100A"/>
    <w:rsid w:val="003428A0"/>
    <w:rsid w:val="0034293B"/>
    <w:rsid w:val="00344BFF"/>
    <w:rsid w:val="00345279"/>
    <w:rsid w:val="00350CBA"/>
    <w:rsid w:val="00351A6E"/>
    <w:rsid w:val="003521C7"/>
    <w:rsid w:val="00355315"/>
    <w:rsid w:val="00355E63"/>
    <w:rsid w:val="00356EFF"/>
    <w:rsid w:val="0035761A"/>
    <w:rsid w:val="003609A4"/>
    <w:rsid w:val="0036138E"/>
    <w:rsid w:val="0036139E"/>
    <w:rsid w:val="003614AD"/>
    <w:rsid w:val="00363CE9"/>
    <w:rsid w:val="0036455B"/>
    <w:rsid w:val="00364736"/>
    <w:rsid w:val="00366A2C"/>
    <w:rsid w:val="00366B4D"/>
    <w:rsid w:val="00367625"/>
    <w:rsid w:val="00367930"/>
    <w:rsid w:val="00367DD9"/>
    <w:rsid w:val="0037039E"/>
    <w:rsid w:val="00370BC4"/>
    <w:rsid w:val="00371A5A"/>
    <w:rsid w:val="003732EE"/>
    <w:rsid w:val="003820A2"/>
    <w:rsid w:val="003828B9"/>
    <w:rsid w:val="003830A7"/>
    <w:rsid w:val="00384464"/>
    <w:rsid w:val="00384EB6"/>
    <w:rsid w:val="00385747"/>
    <w:rsid w:val="00386E01"/>
    <w:rsid w:val="00386F41"/>
    <w:rsid w:val="00390741"/>
    <w:rsid w:val="00395A67"/>
    <w:rsid w:val="0039705F"/>
    <w:rsid w:val="00397B13"/>
    <w:rsid w:val="00397BBA"/>
    <w:rsid w:val="003A184F"/>
    <w:rsid w:val="003A3164"/>
    <w:rsid w:val="003A471F"/>
    <w:rsid w:val="003A4F90"/>
    <w:rsid w:val="003A5A89"/>
    <w:rsid w:val="003A5BA6"/>
    <w:rsid w:val="003A73B4"/>
    <w:rsid w:val="003B0882"/>
    <w:rsid w:val="003B0BB8"/>
    <w:rsid w:val="003B0D33"/>
    <w:rsid w:val="003B1217"/>
    <w:rsid w:val="003B13A6"/>
    <w:rsid w:val="003B182C"/>
    <w:rsid w:val="003B1A80"/>
    <w:rsid w:val="003B1E1D"/>
    <w:rsid w:val="003B3751"/>
    <w:rsid w:val="003B403B"/>
    <w:rsid w:val="003B5567"/>
    <w:rsid w:val="003B5BB1"/>
    <w:rsid w:val="003C0A4B"/>
    <w:rsid w:val="003C2843"/>
    <w:rsid w:val="003C28C9"/>
    <w:rsid w:val="003C2A57"/>
    <w:rsid w:val="003C319D"/>
    <w:rsid w:val="003C353A"/>
    <w:rsid w:val="003C46C0"/>
    <w:rsid w:val="003C6D70"/>
    <w:rsid w:val="003C7462"/>
    <w:rsid w:val="003D07D7"/>
    <w:rsid w:val="003D363E"/>
    <w:rsid w:val="003D3CCD"/>
    <w:rsid w:val="003D4D3C"/>
    <w:rsid w:val="003D4ED7"/>
    <w:rsid w:val="003D648A"/>
    <w:rsid w:val="003D7475"/>
    <w:rsid w:val="003D7932"/>
    <w:rsid w:val="003E1115"/>
    <w:rsid w:val="003E16DC"/>
    <w:rsid w:val="003E1850"/>
    <w:rsid w:val="003E1FE8"/>
    <w:rsid w:val="003E405C"/>
    <w:rsid w:val="003E4576"/>
    <w:rsid w:val="003E60F6"/>
    <w:rsid w:val="003E7F73"/>
    <w:rsid w:val="003F16DC"/>
    <w:rsid w:val="003F2C7E"/>
    <w:rsid w:val="003F3140"/>
    <w:rsid w:val="003F32D3"/>
    <w:rsid w:val="003F3AC1"/>
    <w:rsid w:val="003F3BDA"/>
    <w:rsid w:val="003F4DD8"/>
    <w:rsid w:val="003F5BE2"/>
    <w:rsid w:val="003F7D9E"/>
    <w:rsid w:val="00401D1E"/>
    <w:rsid w:val="00401E7E"/>
    <w:rsid w:val="0040394D"/>
    <w:rsid w:val="0040434E"/>
    <w:rsid w:val="00404773"/>
    <w:rsid w:val="004048C4"/>
    <w:rsid w:val="0040499B"/>
    <w:rsid w:val="00405DDC"/>
    <w:rsid w:val="00406A95"/>
    <w:rsid w:val="004116E1"/>
    <w:rsid w:val="00412C0F"/>
    <w:rsid w:val="00412DA7"/>
    <w:rsid w:val="00413252"/>
    <w:rsid w:val="00414077"/>
    <w:rsid w:val="004158B6"/>
    <w:rsid w:val="00415C0C"/>
    <w:rsid w:val="00420558"/>
    <w:rsid w:val="00420BC3"/>
    <w:rsid w:val="00420D18"/>
    <w:rsid w:val="00420F3A"/>
    <w:rsid w:val="0042142C"/>
    <w:rsid w:val="004219D8"/>
    <w:rsid w:val="004220DD"/>
    <w:rsid w:val="00425B52"/>
    <w:rsid w:val="00427648"/>
    <w:rsid w:val="00431D16"/>
    <w:rsid w:val="0043384D"/>
    <w:rsid w:val="00434B36"/>
    <w:rsid w:val="004351F7"/>
    <w:rsid w:val="00435D2E"/>
    <w:rsid w:val="004360F9"/>
    <w:rsid w:val="004368C8"/>
    <w:rsid w:val="004425C7"/>
    <w:rsid w:val="004431A5"/>
    <w:rsid w:val="004433A6"/>
    <w:rsid w:val="00443EBA"/>
    <w:rsid w:val="00444D2A"/>
    <w:rsid w:val="0044525B"/>
    <w:rsid w:val="0044617F"/>
    <w:rsid w:val="004461F5"/>
    <w:rsid w:val="0044635A"/>
    <w:rsid w:val="00454AEB"/>
    <w:rsid w:val="00455AEA"/>
    <w:rsid w:val="00456AA1"/>
    <w:rsid w:val="004573CA"/>
    <w:rsid w:val="00460F52"/>
    <w:rsid w:val="004612AC"/>
    <w:rsid w:val="004636DD"/>
    <w:rsid w:val="0046561A"/>
    <w:rsid w:val="00466411"/>
    <w:rsid w:val="00466ED2"/>
    <w:rsid w:val="00467633"/>
    <w:rsid w:val="00470715"/>
    <w:rsid w:val="0047477E"/>
    <w:rsid w:val="00475EA0"/>
    <w:rsid w:val="0048179D"/>
    <w:rsid w:val="004852B9"/>
    <w:rsid w:val="00487713"/>
    <w:rsid w:val="004929EC"/>
    <w:rsid w:val="00492F63"/>
    <w:rsid w:val="004944AE"/>
    <w:rsid w:val="00497AC3"/>
    <w:rsid w:val="004A0FFD"/>
    <w:rsid w:val="004A1267"/>
    <w:rsid w:val="004A179B"/>
    <w:rsid w:val="004A1FD2"/>
    <w:rsid w:val="004A249E"/>
    <w:rsid w:val="004A2A84"/>
    <w:rsid w:val="004A35A1"/>
    <w:rsid w:val="004A44FC"/>
    <w:rsid w:val="004A639A"/>
    <w:rsid w:val="004A6B06"/>
    <w:rsid w:val="004A6C42"/>
    <w:rsid w:val="004A6C7C"/>
    <w:rsid w:val="004A6D21"/>
    <w:rsid w:val="004A7617"/>
    <w:rsid w:val="004B11B9"/>
    <w:rsid w:val="004B2BA1"/>
    <w:rsid w:val="004B4400"/>
    <w:rsid w:val="004B4967"/>
    <w:rsid w:val="004C135F"/>
    <w:rsid w:val="004C14F9"/>
    <w:rsid w:val="004C1A71"/>
    <w:rsid w:val="004C2D08"/>
    <w:rsid w:val="004C4071"/>
    <w:rsid w:val="004C4ED2"/>
    <w:rsid w:val="004C6AD0"/>
    <w:rsid w:val="004C6B1C"/>
    <w:rsid w:val="004C73A1"/>
    <w:rsid w:val="004D0731"/>
    <w:rsid w:val="004D1F70"/>
    <w:rsid w:val="004D25B4"/>
    <w:rsid w:val="004D41B9"/>
    <w:rsid w:val="004D77F2"/>
    <w:rsid w:val="004D7891"/>
    <w:rsid w:val="004D78C8"/>
    <w:rsid w:val="004D7EFF"/>
    <w:rsid w:val="004E057E"/>
    <w:rsid w:val="004E13BE"/>
    <w:rsid w:val="004E6D1E"/>
    <w:rsid w:val="004E7BE3"/>
    <w:rsid w:val="004E7CBE"/>
    <w:rsid w:val="004F0389"/>
    <w:rsid w:val="004F0A55"/>
    <w:rsid w:val="004F12EB"/>
    <w:rsid w:val="004F1642"/>
    <w:rsid w:val="004F1925"/>
    <w:rsid w:val="004F3B8E"/>
    <w:rsid w:val="004F57BE"/>
    <w:rsid w:val="004F5F84"/>
    <w:rsid w:val="005000CC"/>
    <w:rsid w:val="00500F44"/>
    <w:rsid w:val="00501E65"/>
    <w:rsid w:val="005022C4"/>
    <w:rsid w:val="0050339D"/>
    <w:rsid w:val="005049E1"/>
    <w:rsid w:val="00505812"/>
    <w:rsid w:val="00506D2C"/>
    <w:rsid w:val="005070E1"/>
    <w:rsid w:val="005077B4"/>
    <w:rsid w:val="00510302"/>
    <w:rsid w:val="0051173D"/>
    <w:rsid w:val="0051216D"/>
    <w:rsid w:val="0051269D"/>
    <w:rsid w:val="00513CA3"/>
    <w:rsid w:val="0051516E"/>
    <w:rsid w:val="00515F24"/>
    <w:rsid w:val="005169DB"/>
    <w:rsid w:val="00517D29"/>
    <w:rsid w:val="005205A4"/>
    <w:rsid w:val="00520AE3"/>
    <w:rsid w:val="0052641C"/>
    <w:rsid w:val="005270A2"/>
    <w:rsid w:val="005278AC"/>
    <w:rsid w:val="005300DA"/>
    <w:rsid w:val="00530EB5"/>
    <w:rsid w:val="005317EA"/>
    <w:rsid w:val="0053226E"/>
    <w:rsid w:val="00534312"/>
    <w:rsid w:val="00536822"/>
    <w:rsid w:val="00536A04"/>
    <w:rsid w:val="00537D73"/>
    <w:rsid w:val="00542F35"/>
    <w:rsid w:val="00543D4B"/>
    <w:rsid w:val="00544A7E"/>
    <w:rsid w:val="00545D0B"/>
    <w:rsid w:val="00545F4B"/>
    <w:rsid w:val="005460AA"/>
    <w:rsid w:val="00547B08"/>
    <w:rsid w:val="00547B2D"/>
    <w:rsid w:val="005506E1"/>
    <w:rsid w:val="00552187"/>
    <w:rsid w:val="00553D07"/>
    <w:rsid w:val="00554B62"/>
    <w:rsid w:val="005551CA"/>
    <w:rsid w:val="0055602B"/>
    <w:rsid w:val="0055712A"/>
    <w:rsid w:val="00557C6B"/>
    <w:rsid w:val="00564E5B"/>
    <w:rsid w:val="005652B0"/>
    <w:rsid w:val="005709F3"/>
    <w:rsid w:val="00571EEF"/>
    <w:rsid w:val="00572BA0"/>
    <w:rsid w:val="00573941"/>
    <w:rsid w:val="005748F9"/>
    <w:rsid w:val="00575E50"/>
    <w:rsid w:val="00577177"/>
    <w:rsid w:val="00577574"/>
    <w:rsid w:val="00580F37"/>
    <w:rsid w:val="0058157B"/>
    <w:rsid w:val="00582FD9"/>
    <w:rsid w:val="005863D5"/>
    <w:rsid w:val="005870AE"/>
    <w:rsid w:val="0058733C"/>
    <w:rsid w:val="005906F0"/>
    <w:rsid w:val="005927E7"/>
    <w:rsid w:val="005932DB"/>
    <w:rsid w:val="00593790"/>
    <w:rsid w:val="005953CD"/>
    <w:rsid w:val="0059715D"/>
    <w:rsid w:val="00597378"/>
    <w:rsid w:val="005A1CB7"/>
    <w:rsid w:val="005A2E33"/>
    <w:rsid w:val="005A2E8E"/>
    <w:rsid w:val="005A3F55"/>
    <w:rsid w:val="005A4789"/>
    <w:rsid w:val="005A4876"/>
    <w:rsid w:val="005A49F8"/>
    <w:rsid w:val="005B0698"/>
    <w:rsid w:val="005B130B"/>
    <w:rsid w:val="005B1624"/>
    <w:rsid w:val="005B3591"/>
    <w:rsid w:val="005B383A"/>
    <w:rsid w:val="005B3FDD"/>
    <w:rsid w:val="005B4D6F"/>
    <w:rsid w:val="005B5944"/>
    <w:rsid w:val="005B5B5D"/>
    <w:rsid w:val="005B6394"/>
    <w:rsid w:val="005B7A82"/>
    <w:rsid w:val="005C002B"/>
    <w:rsid w:val="005C0182"/>
    <w:rsid w:val="005C08AC"/>
    <w:rsid w:val="005C0C28"/>
    <w:rsid w:val="005C13ED"/>
    <w:rsid w:val="005C16BD"/>
    <w:rsid w:val="005C5A18"/>
    <w:rsid w:val="005C639B"/>
    <w:rsid w:val="005C6AA8"/>
    <w:rsid w:val="005C74CB"/>
    <w:rsid w:val="005D0E8E"/>
    <w:rsid w:val="005D188B"/>
    <w:rsid w:val="005D1C10"/>
    <w:rsid w:val="005D2267"/>
    <w:rsid w:val="005D3A7B"/>
    <w:rsid w:val="005D3C5F"/>
    <w:rsid w:val="005D618D"/>
    <w:rsid w:val="005D63F5"/>
    <w:rsid w:val="005D7544"/>
    <w:rsid w:val="005D7770"/>
    <w:rsid w:val="005E1A36"/>
    <w:rsid w:val="005E2C0E"/>
    <w:rsid w:val="005E4556"/>
    <w:rsid w:val="005E4CA5"/>
    <w:rsid w:val="005E59B6"/>
    <w:rsid w:val="005E7B32"/>
    <w:rsid w:val="005F01E2"/>
    <w:rsid w:val="005F089A"/>
    <w:rsid w:val="005F15AC"/>
    <w:rsid w:val="005F17E1"/>
    <w:rsid w:val="005F1E7B"/>
    <w:rsid w:val="005F1EF8"/>
    <w:rsid w:val="005F32B9"/>
    <w:rsid w:val="005F5069"/>
    <w:rsid w:val="005F5A22"/>
    <w:rsid w:val="005F5B33"/>
    <w:rsid w:val="005F5E01"/>
    <w:rsid w:val="005F5F1F"/>
    <w:rsid w:val="0060010D"/>
    <w:rsid w:val="006004F5"/>
    <w:rsid w:val="006011B4"/>
    <w:rsid w:val="006029B1"/>
    <w:rsid w:val="006038BC"/>
    <w:rsid w:val="00612CAC"/>
    <w:rsid w:val="00612E55"/>
    <w:rsid w:val="0061394B"/>
    <w:rsid w:val="0061452F"/>
    <w:rsid w:val="006168CE"/>
    <w:rsid w:val="00616919"/>
    <w:rsid w:val="006171CE"/>
    <w:rsid w:val="00617969"/>
    <w:rsid w:val="006204E2"/>
    <w:rsid w:val="00622289"/>
    <w:rsid w:val="00625107"/>
    <w:rsid w:val="00625733"/>
    <w:rsid w:val="0062707E"/>
    <w:rsid w:val="006279D2"/>
    <w:rsid w:val="00630CD2"/>
    <w:rsid w:val="00632213"/>
    <w:rsid w:val="006335C1"/>
    <w:rsid w:val="0063436D"/>
    <w:rsid w:val="00637CB6"/>
    <w:rsid w:val="00640A1C"/>
    <w:rsid w:val="006420CC"/>
    <w:rsid w:val="0064321F"/>
    <w:rsid w:val="00643A6D"/>
    <w:rsid w:val="00643B82"/>
    <w:rsid w:val="00651D52"/>
    <w:rsid w:val="00651E38"/>
    <w:rsid w:val="00651F11"/>
    <w:rsid w:val="00652085"/>
    <w:rsid w:val="006532E1"/>
    <w:rsid w:val="00653CFA"/>
    <w:rsid w:val="00655BFC"/>
    <w:rsid w:val="0066017C"/>
    <w:rsid w:val="00660918"/>
    <w:rsid w:val="00660F5E"/>
    <w:rsid w:val="0066206E"/>
    <w:rsid w:val="00663EE5"/>
    <w:rsid w:val="00664B7A"/>
    <w:rsid w:val="00664C3F"/>
    <w:rsid w:val="00665E3C"/>
    <w:rsid w:val="0066786E"/>
    <w:rsid w:val="00667C78"/>
    <w:rsid w:val="00670133"/>
    <w:rsid w:val="00670B7E"/>
    <w:rsid w:val="00670DB0"/>
    <w:rsid w:val="00671631"/>
    <w:rsid w:val="00672CFF"/>
    <w:rsid w:val="00672DBD"/>
    <w:rsid w:val="006752CE"/>
    <w:rsid w:val="006767AD"/>
    <w:rsid w:val="00676804"/>
    <w:rsid w:val="0068047E"/>
    <w:rsid w:val="00680AFF"/>
    <w:rsid w:val="00682E55"/>
    <w:rsid w:val="00682F84"/>
    <w:rsid w:val="00682FB0"/>
    <w:rsid w:val="00683623"/>
    <w:rsid w:val="00683C0C"/>
    <w:rsid w:val="00684011"/>
    <w:rsid w:val="00684DBE"/>
    <w:rsid w:val="00685324"/>
    <w:rsid w:val="00685E31"/>
    <w:rsid w:val="0069088E"/>
    <w:rsid w:val="006918CB"/>
    <w:rsid w:val="00693F50"/>
    <w:rsid w:val="00695065"/>
    <w:rsid w:val="006971EB"/>
    <w:rsid w:val="006A0BE9"/>
    <w:rsid w:val="006A1384"/>
    <w:rsid w:val="006A2A3D"/>
    <w:rsid w:val="006A3294"/>
    <w:rsid w:val="006A3E3F"/>
    <w:rsid w:val="006A4513"/>
    <w:rsid w:val="006A4882"/>
    <w:rsid w:val="006A55C3"/>
    <w:rsid w:val="006A6268"/>
    <w:rsid w:val="006A6797"/>
    <w:rsid w:val="006A6D07"/>
    <w:rsid w:val="006B0221"/>
    <w:rsid w:val="006B3108"/>
    <w:rsid w:val="006B4967"/>
    <w:rsid w:val="006B5150"/>
    <w:rsid w:val="006B657A"/>
    <w:rsid w:val="006B6D66"/>
    <w:rsid w:val="006B7A6C"/>
    <w:rsid w:val="006C2533"/>
    <w:rsid w:val="006C3634"/>
    <w:rsid w:val="006C46DC"/>
    <w:rsid w:val="006C5208"/>
    <w:rsid w:val="006C5ECB"/>
    <w:rsid w:val="006C6386"/>
    <w:rsid w:val="006C7158"/>
    <w:rsid w:val="006D01D7"/>
    <w:rsid w:val="006D02C1"/>
    <w:rsid w:val="006D1C42"/>
    <w:rsid w:val="006D257E"/>
    <w:rsid w:val="006D41F8"/>
    <w:rsid w:val="006D4969"/>
    <w:rsid w:val="006D4AD3"/>
    <w:rsid w:val="006D4DF1"/>
    <w:rsid w:val="006D528C"/>
    <w:rsid w:val="006D5AEF"/>
    <w:rsid w:val="006D5B86"/>
    <w:rsid w:val="006E1C76"/>
    <w:rsid w:val="006E3C1E"/>
    <w:rsid w:val="006E3C86"/>
    <w:rsid w:val="006E3E3B"/>
    <w:rsid w:val="006E4072"/>
    <w:rsid w:val="006E41B3"/>
    <w:rsid w:val="006E4471"/>
    <w:rsid w:val="006E6BC3"/>
    <w:rsid w:val="006E7689"/>
    <w:rsid w:val="006F191D"/>
    <w:rsid w:val="006F3348"/>
    <w:rsid w:val="006F380A"/>
    <w:rsid w:val="006F3D54"/>
    <w:rsid w:val="006F4E63"/>
    <w:rsid w:val="006F57E4"/>
    <w:rsid w:val="00700D2B"/>
    <w:rsid w:val="00701C93"/>
    <w:rsid w:val="007057E7"/>
    <w:rsid w:val="00705C57"/>
    <w:rsid w:val="0070719C"/>
    <w:rsid w:val="007107ED"/>
    <w:rsid w:val="00712B93"/>
    <w:rsid w:val="0072049A"/>
    <w:rsid w:val="00722404"/>
    <w:rsid w:val="007225C6"/>
    <w:rsid w:val="00722D79"/>
    <w:rsid w:val="007242B8"/>
    <w:rsid w:val="007250BB"/>
    <w:rsid w:val="007251B4"/>
    <w:rsid w:val="007255F1"/>
    <w:rsid w:val="007266CA"/>
    <w:rsid w:val="00726860"/>
    <w:rsid w:val="00734A65"/>
    <w:rsid w:val="007360DB"/>
    <w:rsid w:val="00736D39"/>
    <w:rsid w:val="00736E67"/>
    <w:rsid w:val="00740049"/>
    <w:rsid w:val="00740437"/>
    <w:rsid w:val="00742133"/>
    <w:rsid w:val="007427C4"/>
    <w:rsid w:val="007434A3"/>
    <w:rsid w:val="00744153"/>
    <w:rsid w:val="007468D8"/>
    <w:rsid w:val="0074691A"/>
    <w:rsid w:val="00746F9D"/>
    <w:rsid w:val="007526C3"/>
    <w:rsid w:val="007534CF"/>
    <w:rsid w:val="007546C9"/>
    <w:rsid w:val="00755943"/>
    <w:rsid w:val="0075683C"/>
    <w:rsid w:val="0075725B"/>
    <w:rsid w:val="00757E4E"/>
    <w:rsid w:val="00760AC6"/>
    <w:rsid w:val="0076276E"/>
    <w:rsid w:val="00762C57"/>
    <w:rsid w:val="0076674A"/>
    <w:rsid w:val="007670C6"/>
    <w:rsid w:val="00771626"/>
    <w:rsid w:val="0077176F"/>
    <w:rsid w:val="00771BB7"/>
    <w:rsid w:val="007721E5"/>
    <w:rsid w:val="00773017"/>
    <w:rsid w:val="00775CFF"/>
    <w:rsid w:val="0077787D"/>
    <w:rsid w:val="00780DBB"/>
    <w:rsid w:val="007814CF"/>
    <w:rsid w:val="00781B91"/>
    <w:rsid w:val="00782C6C"/>
    <w:rsid w:val="0078382B"/>
    <w:rsid w:val="0078393C"/>
    <w:rsid w:val="00783D60"/>
    <w:rsid w:val="00783E7B"/>
    <w:rsid w:val="00784903"/>
    <w:rsid w:val="007858F3"/>
    <w:rsid w:val="00787896"/>
    <w:rsid w:val="007878D0"/>
    <w:rsid w:val="007909B5"/>
    <w:rsid w:val="00791A38"/>
    <w:rsid w:val="00791DC2"/>
    <w:rsid w:val="00792AD3"/>
    <w:rsid w:val="00792AEE"/>
    <w:rsid w:val="00793A02"/>
    <w:rsid w:val="007944FA"/>
    <w:rsid w:val="00795C2B"/>
    <w:rsid w:val="00796148"/>
    <w:rsid w:val="00796E61"/>
    <w:rsid w:val="007979E4"/>
    <w:rsid w:val="007A2179"/>
    <w:rsid w:val="007A2939"/>
    <w:rsid w:val="007A3EA9"/>
    <w:rsid w:val="007A412C"/>
    <w:rsid w:val="007A5E25"/>
    <w:rsid w:val="007A5ED6"/>
    <w:rsid w:val="007A6759"/>
    <w:rsid w:val="007A679A"/>
    <w:rsid w:val="007A7725"/>
    <w:rsid w:val="007B2C01"/>
    <w:rsid w:val="007B5B77"/>
    <w:rsid w:val="007B60D1"/>
    <w:rsid w:val="007B65D8"/>
    <w:rsid w:val="007B72C4"/>
    <w:rsid w:val="007C0CF8"/>
    <w:rsid w:val="007C5562"/>
    <w:rsid w:val="007C6193"/>
    <w:rsid w:val="007C623C"/>
    <w:rsid w:val="007C63E6"/>
    <w:rsid w:val="007D41B5"/>
    <w:rsid w:val="007D466E"/>
    <w:rsid w:val="007D5409"/>
    <w:rsid w:val="007D5510"/>
    <w:rsid w:val="007D5936"/>
    <w:rsid w:val="007D786C"/>
    <w:rsid w:val="007D7B41"/>
    <w:rsid w:val="007E39BC"/>
    <w:rsid w:val="007E437F"/>
    <w:rsid w:val="007E4E65"/>
    <w:rsid w:val="007E53C0"/>
    <w:rsid w:val="007E6373"/>
    <w:rsid w:val="007E70ED"/>
    <w:rsid w:val="007E7D92"/>
    <w:rsid w:val="007E7EE1"/>
    <w:rsid w:val="007F149F"/>
    <w:rsid w:val="007F41FE"/>
    <w:rsid w:val="007F6C14"/>
    <w:rsid w:val="007F6FE8"/>
    <w:rsid w:val="007F7044"/>
    <w:rsid w:val="0080257B"/>
    <w:rsid w:val="00802BC2"/>
    <w:rsid w:val="0080389A"/>
    <w:rsid w:val="00805469"/>
    <w:rsid w:val="0080579B"/>
    <w:rsid w:val="0080650D"/>
    <w:rsid w:val="00807943"/>
    <w:rsid w:val="00807A17"/>
    <w:rsid w:val="00811FD3"/>
    <w:rsid w:val="0081394C"/>
    <w:rsid w:val="00817085"/>
    <w:rsid w:val="00817ED3"/>
    <w:rsid w:val="00817F56"/>
    <w:rsid w:val="00821A6E"/>
    <w:rsid w:val="00823C98"/>
    <w:rsid w:val="00823CA2"/>
    <w:rsid w:val="00824EF0"/>
    <w:rsid w:val="00827EB5"/>
    <w:rsid w:val="008300A7"/>
    <w:rsid w:val="00830B01"/>
    <w:rsid w:val="00830DAF"/>
    <w:rsid w:val="008324DD"/>
    <w:rsid w:val="00833613"/>
    <w:rsid w:val="00833ADA"/>
    <w:rsid w:val="00840185"/>
    <w:rsid w:val="0084150A"/>
    <w:rsid w:val="0084198B"/>
    <w:rsid w:val="008425CF"/>
    <w:rsid w:val="00842A44"/>
    <w:rsid w:val="008437F8"/>
    <w:rsid w:val="00844641"/>
    <w:rsid w:val="00844DD2"/>
    <w:rsid w:val="0084502B"/>
    <w:rsid w:val="00845117"/>
    <w:rsid w:val="0084533B"/>
    <w:rsid w:val="008454B9"/>
    <w:rsid w:val="008464D6"/>
    <w:rsid w:val="008478CE"/>
    <w:rsid w:val="008521DC"/>
    <w:rsid w:val="00852645"/>
    <w:rsid w:val="008535F3"/>
    <w:rsid w:val="00854192"/>
    <w:rsid w:val="008552E2"/>
    <w:rsid w:val="00863199"/>
    <w:rsid w:val="00864CE1"/>
    <w:rsid w:val="00865FA4"/>
    <w:rsid w:val="00867F51"/>
    <w:rsid w:val="00870A06"/>
    <w:rsid w:val="00872DFF"/>
    <w:rsid w:val="008738DD"/>
    <w:rsid w:val="00874BD4"/>
    <w:rsid w:val="008752B7"/>
    <w:rsid w:val="008754D2"/>
    <w:rsid w:val="00875F83"/>
    <w:rsid w:val="00876360"/>
    <w:rsid w:val="00876C2F"/>
    <w:rsid w:val="00877671"/>
    <w:rsid w:val="008812CF"/>
    <w:rsid w:val="00882709"/>
    <w:rsid w:val="00882930"/>
    <w:rsid w:val="00885853"/>
    <w:rsid w:val="00886323"/>
    <w:rsid w:val="00887803"/>
    <w:rsid w:val="00890D18"/>
    <w:rsid w:val="0089328A"/>
    <w:rsid w:val="008941A1"/>
    <w:rsid w:val="008944EA"/>
    <w:rsid w:val="008953AE"/>
    <w:rsid w:val="00895E30"/>
    <w:rsid w:val="00895E91"/>
    <w:rsid w:val="00896042"/>
    <w:rsid w:val="00896B34"/>
    <w:rsid w:val="008A06A4"/>
    <w:rsid w:val="008A2440"/>
    <w:rsid w:val="008A3243"/>
    <w:rsid w:val="008A3CB0"/>
    <w:rsid w:val="008A5540"/>
    <w:rsid w:val="008A7741"/>
    <w:rsid w:val="008A77B2"/>
    <w:rsid w:val="008B2097"/>
    <w:rsid w:val="008B3513"/>
    <w:rsid w:val="008B506A"/>
    <w:rsid w:val="008B5E86"/>
    <w:rsid w:val="008B7B51"/>
    <w:rsid w:val="008C0AB2"/>
    <w:rsid w:val="008C13F4"/>
    <w:rsid w:val="008C1535"/>
    <w:rsid w:val="008C17D9"/>
    <w:rsid w:val="008C2C2F"/>
    <w:rsid w:val="008C591F"/>
    <w:rsid w:val="008C5CB0"/>
    <w:rsid w:val="008D0016"/>
    <w:rsid w:val="008D145E"/>
    <w:rsid w:val="008D221A"/>
    <w:rsid w:val="008D3EF7"/>
    <w:rsid w:val="008D4268"/>
    <w:rsid w:val="008D5A40"/>
    <w:rsid w:val="008D5C45"/>
    <w:rsid w:val="008D66DB"/>
    <w:rsid w:val="008D68FD"/>
    <w:rsid w:val="008D7203"/>
    <w:rsid w:val="008D733E"/>
    <w:rsid w:val="008D77CD"/>
    <w:rsid w:val="008D7E89"/>
    <w:rsid w:val="008E08FF"/>
    <w:rsid w:val="008E1CEA"/>
    <w:rsid w:val="008E2760"/>
    <w:rsid w:val="008E33AA"/>
    <w:rsid w:val="008E5C7F"/>
    <w:rsid w:val="008E6165"/>
    <w:rsid w:val="008E6377"/>
    <w:rsid w:val="008E6E18"/>
    <w:rsid w:val="008E7D79"/>
    <w:rsid w:val="008F1EA6"/>
    <w:rsid w:val="008F211E"/>
    <w:rsid w:val="008F3024"/>
    <w:rsid w:val="008F3363"/>
    <w:rsid w:val="008F4EEB"/>
    <w:rsid w:val="008F570D"/>
    <w:rsid w:val="008F6315"/>
    <w:rsid w:val="00900A29"/>
    <w:rsid w:val="00901F46"/>
    <w:rsid w:val="009020DE"/>
    <w:rsid w:val="00902EC1"/>
    <w:rsid w:val="009043B0"/>
    <w:rsid w:val="009050CE"/>
    <w:rsid w:val="00905CCE"/>
    <w:rsid w:val="009062FF"/>
    <w:rsid w:val="00906874"/>
    <w:rsid w:val="009075F4"/>
    <w:rsid w:val="0091003A"/>
    <w:rsid w:val="009100BC"/>
    <w:rsid w:val="009107BC"/>
    <w:rsid w:val="00910BCF"/>
    <w:rsid w:val="00913990"/>
    <w:rsid w:val="0091499F"/>
    <w:rsid w:val="009153E9"/>
    <w:rsid w:val="009164E2"/>
    <w:rsid w:val="00917026"/>
    <w:rsid w:val="009201FE"/>
    <w:rsid w:val="00924EA7"/>
    <w:rsid w:val="0092509B"/>
    <w:rsid w:val="00925669"/>
    <w:rsid w:val="009261B7"/>
    <w:rsid w:val="00926B13"/>
    <w:rsid w:val="0092736C"/>
    <w:rsid w:val="00927A92"/>
    <w:rsid w:val="00927B79"/>
    <w:rsid w:val="009301F8"/>
    <w:rsid w:val="009317F3"/>
    <w:rsid w:val="00931FE3"/>
    <w:rsid w:val="0093242A"/>
    <w:rsid w:val="00934CD6"/>
    <w:rsid w:val="00936FD6"/>
    <w:rsid w:val="00941CB7"/>
    <w:rsid w:val="00941CE7"/>
    <w:rsid w:val="00942D2A"/>
    <w:rsid w:val="00944310"/>
    <w:rsid w:val="00944DFA"/>
    <w:rsid w:val="00946007"/>
    <w:rsid w:val="00951518"/>
    <w:rsid w:val="009534AF"/>
    <w:rsid w:val="0095475D"/>
    <w:rsid w:val="00954FA4"/>
    <w:rsid w:val="0095666C"/>
    <w:rsid w:val="00961A53"/>
    <w:rsid w:val="0096269F"/>
    <w:rsid w:val="009626A6"/>
    <w:rsid w:val="0096432E"/>
    <w:rsid w:val="00964783"/>
    <w:rsid w:val="00965F97"/>
    <w:rsid w:val="009666BB"/>
    <w:rsid w:val="00967E51"/>
    <w:rsid w:val="00967EDF"/>
    <w:rsid w:val="009700D4"/>
    <w:rsid w:val="0097118F"/>
    <w:rsid w:val="00971B0F"/>
    <w:rsid w:val="00972162"/>
    <w:rsid w:val="009762B7"/>
    <w:rsid w:val="0097722D"/>
    <w:rsid w:val="009778F9"/>
    <w:rsid w:val="00980018"/>
    <w:rsid w:val="009804BB"/>
    <w:rsid w:val="00982E7E"/>
    <w:rsid w:val="009837CA"/>
    <w:rsid w:val="00983E1B"/>
    <w:rsid w:val="009840FB"/>
    <w:rsid w:val="00984346"/>
    <w:rsid w:val="00985671"/>
    <w:rsid w:val="00986421"/>
    <w:rsid w:val="0098658D"/>
    <w:rsid w:val="00986E23"/>
    <w:rsid w:val="009874A1"/>
    <w:rsid w:val="009877F9"/>
    <w:rsid w:val="009879BC"/>
    <w:rsid w:val="00990DE8"/>
    <w:rsid w:val="00991903"/>
    <w:rsid w:val="009935C1"/>
    <w:rsid w:val="00994A3C"/>
    <w:rsid w:val="00994B95"/>
    <w:rsid w:val="00997494"/>
    <w:rsid w:val="00997A42"/>
    <w:rsid w:val="009A1AD7"/>
    <w:rsid w:val="009A25A6"/>
    <w:rsid w:val="009A319A"/>
    <w:rsid w:val="009A387A"/>
    <w:rsid w:val="009A4249"/>
    <w:rsid w:val="009A6617"/>
    <w:rsid w:val="009B23C7"/>
    <w:rsid w:val="009B408B"/>
    <w:rsid w:val="009B677F"/>
    <w:rsid w:val="009C00D1"/>
    <w:rsid w:val="009C10A5"/>
    <w:rsid w:val="009C1AE8"/>
    <w:rsid w:val="009C2A4C"/>
    <w:rsid w:val="009C2E9F"/>
    <w:rsid w:val="009C3321"/>
    <w:rsid w:val="009C38DB"/>
    <w:rsid w:val="009C51EF"/>
    <w:rsid w:val="009C5582"/>
    <w:rsid w:val="009C60BA"/>
    <w:rsid w:val="009D061B"/>
    <w:rsid w:val="009D0731"/>
    <w:rsid w:val="009D1E46"/>
    <w:rsid w:val="009D2DE4"/>
    <w:rsid w:val="009D51D1"/>
    <w:rsid w:val="009D5F20"/>
    <w:rsid w:val="009D77A9"/>
    <w:rsid w:val="009E0C79"/>
    <w:rsid w:val="009E0D9D"/>
    <w:rsid w:val="009E0F8D"/>
    <w:rsid w:val="009E3643"/>
    <w:rsid w:val="009E3CED"/>
    <w:rsid w:val="009E4A6C"/>
    <w:rsid w:val="009E555C"/>
    <w:rsid w:val="009E675B"/>
    <w:rsid w:val="009F25E3"/>
    <w:rsid w:val="009F2C92"/>
    <w:rsid w:val="009F32CD"/>
    <w:rsid w:val="009F3853"/>
    <w:rsid w:val="009F3D78"/>
    <w:rsid w:val="009F4787"/>
    <w:rsid w:val="009F53A6"/>
    <w:rsid w:val="009F7222"/>
    <w:rsid w:val="009F764E"/>
    <w:rsid w:val="00A00066"/>
    <w:rsid w:val="00A017C3"/>
    <w:rsid w:val="00A01A01"/>
    <w:rsid w:val="00A034E6"/>
    <w:rsid w:val="00A0364D"/>
    <w:rsid w:val="00A046E4"/>
    <w:rsid w:val="00A04F99"/>
    <w:rsid w:val="00A05C1C"/>
    <w:rsid w:val="00A06198"/>
    <w:rsid w:val="00A06479"/>
    <w:rsid w:val="00A07527"/>
    <w:rsid w:val="00A1048D"/>
    <w:rsid w:val="00A10AED"/>
    <w:rsid w:val="00A1305C"/>
    <w:rsid w:val="00A1376B"/>
    <w:rsid w:val="00A1463E"/>
    <w:rsid w:val="00A1588A"/>
    <w:rsid w:val="00A15D6E"/>
    <w:rsid w:val="00A16402"/>
    <w:rsid w:val="00A169EF"/>
    <w:rsid w:val="00A17157"/>
    <w:rsid w:val="00A17CD8"/>
    <w:rsid w:val="00A20053"/>
    <w:rsid w:val="00A21D1D"/>
    <w:rsid w:val="00A2210F"/>
    <w:rsid w:val="00A22A50"/>
    <w:rsid w:val="00A22D51"/>
    <w:rsid w:val="00A24A88"/>
    <w:rsid w:val="00A25B00"/>
    <w:rsid w:val="00A26738"/>
    <w:rsid w:val="00A27FE5"/>
    <w:rsid w:val="00A300E3"/>
    <w:rsid w:val="00A309BF"/>
    <w:rsid w:val="00A33C09"/>
    <w:rsid w:val="00A33D55"/>
    <w:rsid w:val="00A34D14"/>
    <w:rsid w:val="00A36C74"/>
    <w:rsid w:val="00A375D8"/>
    <w:rsid w:val="00A3768C"/>
    <w:rsid w:val="00A40072"/>
    <w:rsid w:val="00A40939"/>
    <w:rsid w:val="00A41CEA"/>
    <w:rsid w:val="00A4245E"/>
    <w:rsid w:val="00A4324F"/>
    <w:rsid w:val="00A437EA"/>
    <w:rsid w:val="00A442A7"/>
    <w:rsid w:val="00A455BE"/>
    <w:rsid w:val="00A4584D"/>
    <w:rsid w:val="00A45D6B"/>
    <w:rsid w:val="00A45E68"/>
    <w:rsid w:val="00A45F3C"/>
    <w:rsid w:val="00A462C4"/>
    <w:rsid w:val="00A46714"/>
    <w:rsid w:val="00A475F1"/>
    <w:rsid w:val="00A5337E"/>
    <w:rsid w:val="00A53A94"/>
    <w:rsid w:val="00A54A71"/>
    <w:rsid w:val="00A55E0F"/>
    <w:rsid w:val="00A563DE"/>
    <w:rsid w:val="00A571AC"/>
    <w:rsid w:val="00A57B33"/>
    <w:rsid w:val="00A6011C"/>
    <w:rsid w:val="00A60B8C"/>
    <w:rsid w:val="00A60E3F"/>
    <w:rsid w:val="00A614DA"/>
    <w:rsid w:val="00A61F02"/>
    <w:rsid w:val="00A631C1"/>
    <w:rsid w:val="00A63EB7"/>
    <w:rsid w:val="00A64152"/>
    <w:rsid w:val="00A64702"/>
    <w:rsid w:val="00A6512F"/>
    <w:rsid w:val="00A655BB"/>
    <w:rsid w:val="00A65DF8"/>
    <w:rsid w:val="00A71EDC"/>
    <w:rsid w:val="00A742C9"/>
    <w:rsid w:val="00A744C3"/>
    <w:rsid w:val="00A74A6E"/>
    <w:rsid w:val="00A75F19"/>
    <w:rsid w:val="00A75FC2"/>
    <w:rsid w:val="00A76733"/>
    <w:rsid w:val="00A77679"/>
    <w:rsid w:val="00A77A9F"/>
    <w:rsid w:val="00A77E2B"/>
    <w:rsid w:val="00A80EB8"/>
    <w:rsid w:val="00A81AAE"/>
    <w:rsid w:val="00A82525"/>
    <w:rsid w:val="00A82C13"/>
    <w:rsid w:val="00A8437B"/>
    <w:rsid w:val="00A84472"/>
    <w:rsid w:val="00A8532B"/>
    <w:rsid w:val="00A85D11"/>
    <w:rsid w:val="00A874C6"/>
    <w:rsid w:val="00A8759D"/>
    <w:rsid w:val="00A9131E"/>
    <w:rsid w:val="00A914E9"/>
    <w:rsid w:val="00A91E2C"/>
    <w:rsid w:val="00A92586"/>
    <w:rsid w:val="00A95240"/>
    <w:rsid w:val="00A95E1F"/>
    <w:rsid w:val="00A96083"/>
    <w:rsid w:val="00A96592"/>
    <w:rsid w:val="00AA1658"/>
    <w:rsid w:val="00AA247A"/>
    <w:rsid w:val="00AA4AC6"/>
    <w:rsid w:val="00AA5E63"/>
    <w:rsid w:val="00AA60E9"/>
    <w:rsid w:val="00AA689C"/>
    <w:rsid w:val="00AA6F54"/>
    <w:rsid w:val="00AB01EF"/>
    <w:rsid w:val="00AB0D42"/>
    <w:rsid w:val="00AC0167"/>
    <w:rsid w:val="00AC0185"/>
    <w:rsid w:val="00AC0556"/>
    <w:rsid w:val="00AC0B44"/>
    <w:rsid w:val="00AC24FA"/>
    <w:rsid w:val="00AC3315"/>
    <w:rsid w:val="00AC3E46"/>
    <w:rsid w:val="00AC6108"/>
    <w:rsid w:val="00AC661E"/>
    <w:rsid w:val="00AC701D"/>
    <w:rsid w:val="00AC79AF"/>
    <w:rsid w:val="00AD12BB"/>
    <w:rsid w:val="00AD19EA"/>
    <w:rsid w:val="00AD3E6E"/>
    <w:rsid w:val="00AD5906"/>
    <w:rsid w:val="00AD5A4E"/>
    <w:rsid w:val="00AD60A8"/>
    <w:rsid w:val="00AD6B70"/>
    <w:rsid w:val="00AD72D1"/>
    <w:rsid w:val="00AD736C"/>
    <w:rsid w:val="00AE19A2"/>
    <w:rsid w:val="00AE239A"/>
    <w:rsid w:val="00AE2A42"/>
    <w:rsid w:val="00AE2DE7"/>
    <w:rsid w:val="00AE35D6"/>
    <w:rsid w:val="00AE40D9"/>
    <w:rsid w:val="00AE6C32"/>
    <w:rsid w:val="00AE6DFC"/>
    <w:rsid w:val="00AF1041"/>
    <w:rsid w:val="00AF4678"/>
    <w:rsid w:val="00AF4CC3"/>
    <w:rsid w:val="00AF5402"/>
    <w:rsid w:val="00AF581D"/>
    <w:rsid w:val="00AF64E3"/>
    <w:rsid w:val="00B0202D"/>
    <w:rsid w:val="00B049F7"/>
    <w:rsid w:val="00B04F40"/>
    <w:rsid w:val="00B06194"/>
    <w:rsid w:val="00B10771"/>
    <w:rsid w:val="00B132FA"/>
    <w:rsid w:val="00B14212"/>
    <w:rsid w:val="00B1695D"/>
    <w:rsid w:val="00B22620"/>
    <w:rsid w:val="00B256D0"/>
    <w:rsid w:val="00B25822"/>
    <w:rsid w:val="00B25A2C"/>
    <w:rsid w:val="00B25B6B"/>
    <w:rsid w:val="00B2623E"/>
    <w:rsid w:val="00B2696B"/>
    <w:rsid w:val="00B27023"/>
    <w:rsid w:val="00B27420"/>
    <w:rsid w:val="00B2793E"/>
    <w:rsid w:val="00B306B0"/>
    <w:rsid w:val="00B31E3F"/>
    <w:rsid w:val="00B344F3"/>
    <w:rsid w:val="00B34C72"/>
    <w:rsid w:val="00B36A63"/>
    <w:rsid w:val="00B37086"/>
    <w:rsid w:val="00B373BB"/>
    <w:rsid w:val="00B37A83"/>
    <w:rsid w:val="00B400CB"/>
    <w:rsid w:val="00B40178"/>
    <w:rsid w:val="00B42D79"/>
    <w:rsid w:val="00B434FB"/>
    <w:rsid w:val="00B446F2"/>
    <w:rsid w:val="00B47335"/>
    <w:rsid w:val="00B476FA"/>
    <w:rsid w:val="00B47E1F"/>
    <w:rsid w:val="00B500BA"/>
    <w:rsid w:val="00B53004"/>
    <w:rsid w:val="00B54A93"/>
    <w:rsid w:val="00B54F7A"/>
    <w:rsid w:val="00B55B9F"/>
    <w:rsid w:val="00B60265"/>
    <w:rsid w:val="00B61055"/>
    <w:rsid w:val="00B62035"/>
    <w:rsid w:val="00B62271"/>
    <w:rsid w:val="00B645AC"/>
    <w:rsid w:val="00B6510D"/>
    <w:rsid w:val="00B653E6"/>
    <w:rsid w:val="00B66298"/>
    <w:rsid w:val="00B663F6"/>
    <w:rsid w:val="00B66AA1"/>
    <w:rsid w:val="00B670DC"/>
    <w:rsid w:val="00B67D96"/>
    <w:rsid w:val="00B67DA0"/>
    <w:rsid w:val="00B67E6E"/>
    <w:rsid w:val="00B70B0D"/>
    <w:rsid w:val="00B70C0C"/>
    <w:rsid w:val="00B71DBB"/>
    <w:rsid w:val="00B760AD"/>
    <w:rsid w:val="00B80213"/>
    <w:rsid w:val="00B82897"/>
    <w:rsid w:val="00B833EE"/>
    <w:rsid w:val="00B855BD"/>
    <w:rsid w:val="00B900EC"/>
    <w:rsid w:val="00B90E5D"/>
    <w:rsid w:val="00B9294E"/>
    <w:rsid w:val="00B92A96"/>
    <w:rsid w:val="00B94D57"/>
    <w:rsid w:val="00B96B2A"/>
    <w:rsid w:val="00BA0C58"/>
    <w:rsid w:val="00BA0D0A"/>
    <w:rsid w:val="00BA20E3"/>
    <w:rsid w:val="00BA22A8"/>
    <w:rsid w:val="00BA2D92"/>
    <w:rsid w:val="00BA6378"/>
    <w:rsid w:val="00BA67C5"/>
    <w:rsid w:val="00BA7684"/>
    <w:rsid w:val="00BA7C64"/>
    <w:rsid w:val="00BB0164"/>
    <w:rsid w:val="00BB141E"/>
    <w:rsid w:val="00BB79FA"/>
    <w:rsid w:val="00BC0234"/>
    <w:rsid w:val="00BC0A20"/>
    <w:rsid w:val="00BC2E3F"/>
    <w:rsid w:val="00BC2F91"/>
    <w:rsid w:val="00BC3617"/>
    <w:rsid w:val="00BC370A"/>
    <w:rsid w:val="00BC38E2"/>
    <w:rsid w:val="00BC3E10"/>
    <w:rsid w:val="00BC5D0F"/>
    <w:rsid w:val="00BC5DD7"/>
    <w:rsid w:val="00BC69B8"/>
    <w:rsid w:val="00BC71A8"/>
    <w:rsid w:val="00BC763E"/>
    <w:rsid w:val="00BC77B3"/>
    <w:rsid w:val="00BC7EDC"/>
    <w:rsid w:val="00BD5155"/>
    <w:rsid w:val="00BD6AD8"/>
    <w:rsid w:val="00BE1242"/>
    <w:rsid w:val="00BE150C"/>
    <w:rsid w:val="00BE2659"/>
    <w:rsid w:val="00BE2929"/>
    <w:rsid w:val="00BE308F"/>
    <w:rsid w:val="00BE3C97"/>
    <w:rsid w:val="00BE4B68"/>
    <w:rsid w:val="00BE50E8"/>
    <w:rsid w:val="00BE5F94"/>
    <w:rsid w:val="00BE612B"/>
    <w:rsid w:val="00BE6558"/>
    <w:rsid w:val="00BE6588"/>
    <w:rsid w:val="00BE793B"/>
    <w:rsid w:val="00BE7AB3"/>
    <w:rsid w:val="00BF01B7"/>
    <w:rsid w:val="00BF286E"/>
    <w:rsid w:val="00BF618E"/>
    <w:rsid w:val="00BF72C2"/>
    <w:rsid w:val="00BF7B04"/>
    <w:rsid w:val="00C00311"/>
    <w:rsid w:val="00C0054A"/>
    <w:rsid w:val="00C023B7"/>
    <w:rsid w:val="00C02DD6"/>
    <w:rsid w:val="00C03085"/>
    <w:rsid w:val="00C048FC"/>
    <w:rsid w:val="00C05535"/>
    <w:rsid w:val="00C13469"/>
    <w:rsid w:val="00C134CE"/>
    <w:rsid w:val="00C13A8E"/>
    <w:rsid w:val="00C13CFE"/>
    <w:rsid w:val="00C155A5"/>
    <w:rsid w:val="00C16033"/>
    <w:rsid w:val="00C17B46"/>
    <w:rsid w:val="00C17DC0"/>
    <w:rsid w:val="00C208FA"/>
    <w:rsid w:val="00C22AB8"/>
    <w:rsid w:val="00C2785B"/>
    <w:rsid w:val="00C27976"/>
    <w:rsid w:val="00C317EC"/>
    <w:rsid w:val="00C3392C"/>
    <w:rsid w:val="00C35125"/>
    <w:rsid w:val="00C35CC4"/>
    <w:rsid w:val="00C35EDC"/>
    <w:rsid w:val="00C36066"/>
    <w:rsid w:val="00C3698D"/>
    <w:rsid w:val="00C36BB7"/>
    <w:rsid w:val="00C370C2"/>
    <w:rsid w:val="00C41450"/>
    <w:rsid w:val="00C41FDF"/>
    <w:rsid w:val="00C4347C"/>
    <w:rsid w:val="00C44FF6"/>
    <w:rsid w:val="00C451B1"/>
    <w:rsid w:val="00C45978"/>
    <w:rsid w:val="00C45ABD"/>
    <w:rsid w:val="00C5072D"/>
    <w:rsid w:val="00C5186E"/>
    <w:rsid w:val="00C51C09"/>
    <w:rsid w:val="00C5239D"/>
    <w:rsid w:val="00C52E4E"/>
    <w:rsid w:val="00C536C1"/>
    <w:rsid w:val="00C536DD"/>
    <w:rsid w:val="00C56964"/>
    <w:rsid w:val="00C60E21"/>
    <w:rsid w:val="00C61F2F"/>
    <w:rsid w:val="00C621FC"/>
    <w:rsid w:val="00C623D5"/>
    <w:rsid w:val="00C62B1D"/>
    <w:rsid w:val="00C6342B"/>
    <w:rsid w:val="00C64951"/>
    <w:rsid w:val="00C64EDE"/>
    <w:rsid w:val="00C650C6"/>
    <w:rsid w:val="00C65109"/>
    <w:rsid w:val="00C656E1"/>
    <w:rsid w:val="00C65C11"/>
    <w:rsid w:val="00C67158"/>
    <w:rsid w:val="00C67840"/>
    <w:rsid w:val="00C70359"/>
    <w:rsid w:val="00C70DB6"/>
    <w:rsid w:val="00C71270"/>
    <w:rsid w:val="00C740E8"/>
    <w:rsid w:val="00C746C6"/>
    <w:rsid w:val="00C7475D"/>
    <w:rsid w:val="00C7597B"/>
    <w:rsid w:val="00C75ED6"/>
    <w:rsid w:val="00C75FB2"/>
    <w:rsid w:val="00C81CD2"/>
    <w:rsid w:val="00C82581"/>
    <w:rsid w:val="00C86BFF"/>
    <w:rsid w:val="00C87503"/>
    <w:rsid w:val="00C87BE4"/>
    <w:rsid w:val="00C9040B"/>
    <w:rsid w:val="00C96909"/>
    <w:rsid w:val="00C96E99"/>
    <w:rsid w:val="00C97262"/>
    <w:rsid w:val="00C9742B"/>
    <w:rsid w:val="00C97AB2"/>
    <w:rsid w:val="00CA04D1"/>
    <w:rsid w:val="00CA0A0B"/>
    <w:rsid w:val="00CA4740"/>
    <w:rsid w:val="00CA4FD5"/>
    <w:rsid w:val="00CA5272"/>
    <w:rsid w:val="00CA5F48"/>
    <w:rsid w:val="00CA7302"/>
    <w:rsid w:val="00CA7312"/>
    <w:rsid w:val="00CA7B3B"/>
    <w:rsid w:val="00CB0335"/>
    <w:rsid w:val="00CB18E0"/>
    <w:rsid w:val="00CB35C8"/>
    <w:rsid w:val="00CB5CA4"/>
    <w:rsid w:val="00CB5D22"/>
    <w:rsid w:val="00CB6E3F"/>
    <w:rsid w:val="00CC3DAC"/>
    <w:rsid w:val="00CC42BA"/>
    <w:rsid w:val="00CC6495"/>
    <w:rsid w:val="00CC6CA5"/>
    <w:rsid w:val="00CC6F0B"/>
    <w:rsid w:val="00CD02ED"/>
    <w:rsid w:val="00CD206A"/>
    <w:rsid w:val="00CD2A42"/>
    <w:rsid w:val="00CD3666"/>
    <w:rsid w:val="00CD4008"/>
    <w:rsid w:val="00CD4CD6"/>
    <w:rsid w:val="00CD4D74"/>
    <w:rsid w:val="00CD5191"/>
    <w:rsid w:val="00CD62A8"/>
    <w:rsid w:val="00CD79A8"/>
    <w:rsid w:val="00CE1740"/>
    <w:rsid w:val="00CE2B1B"/>
    <w:rsid w:val="00CE378D"/>
    <w:rsid w:val="00CE3A9B"/>
    <w:rsid w:val="00CE4E7F"/>
    <w:rsid w:val="00CE5030"/>
    <w:rsid w:val="00CE5184"/>
    <w:rsid w:val="00CE6D94"/>
    <w:rsid w:val="00CE7612"/>
    <w:rsid w:val="00CE77F3"/>
    <w:rsid w:val="00CE7A34"/>
    <w:rsid w:val="00CE7FEC"/>
    <w:rsid w:val="00CF0902"/>
    <w:rsid w:val="00CF0C20"/>
    <w:rsid w:val="00CF3106"/>
    <w:rsid w:val="00CF46EB"/>
    <w:rsid w:val="00CF4BFA"/>
    <w:rsid w:val="00CF508A"/>
    <w:rsid w:val="00CF54B3"/>
    <w:rsid w:val="00CF65EB"/>
    <w:rsid w:val="00CF7379"/>
    <w:rsid w:val="00D029B1"/>
    <w:rsid w:val="00D043C8"/>
    <w:rsid w:val="00D07267"/>
    <w:rsid w:val="00D07ADF"/>
    <w:rsid w:val="00D10356"/>
    <w:rsid w:val="00D103D0"/>
    <w:rsid w:val="00D114D0"/>
    <w:rsid w:val="00D12699"/>
    <w:rsid w:val="00D129BC"/>
    <w:rsid w:val="00D15753"/>
    <w:rsid w:val="00D176E1"/>
    <w:rsid w:val="00D17823"/>
    <w:rsid w:val="00D21982"/>
    <w:rsid w:val="00D21D32"/>
    <w:rsid w:val="00D222CA"/>
    <w:rsid w:val="00D223B2"/>
    <w:rsid w:val="00D22E20"/>
    <w:rsid w:val="00D22E9A"/>
    <w:rsid w:val="00D23AB9"/>
    <w:rsid w:val="00D23BB2"/>
    <w:rsid w:val="00D266F1"/>
    <w:rsid w:val="00D26BAB"/>
    <w:rsid w:val="00D26CD8"/>
    <w:rsid w:val="00D2708C"/>
    <w:rsid w:val="00D27F9D"/>
    <w:rsid w:val="00D3124C"/>
    <w:rsid w:val="00D3130A"/>
    <w:rsid w:val="00D32E38"/>
    <w:rsid w:val="00D33E44"/>
    <w:rsid w:val="00D34131"/>
    <w:rsid w:val="00D34588"/>
    <w:rsid w:val="00D349C7"/>
    <w:rsid w:val="00D34AEE"/>
    <w:rsid w:val="00D34EB3"/>
    <w:rsid w:val="00D36D44"/>
    <w:rsid w:val="00D3758B"/>
    <w:rsid w:val="00D37FF2"/>
    <w:rsid w:val="00D415CA"/>
    <w:rsid w:val="00D41D7C"/>
    <w:rsid w:val="00D41F61"/>
    <w:rsid w:val="00D436B0"/>
    <w:rsid w:val="00D4461D"/>
    <w:rsid w:val="00D462C9"/>
    <w:rsid w:val="00D46357"/>
    <w:rsid w:val="00D516CE"/>
    <w:rsid w:val="00D51998"/>
    <w:rsid w:val="00D52B5F"/>
    <w:rsid w:val="00D538CE"/>
    <w:rsid w:val="00D53B06"/>
    <w:rsid w:val="00D543B2"/>
    <w:rsid w:val="00D54400"/>
    <w:rsid w:val="00D5556F"/>
    <w:rsid w:val="00D55D1F"/>
    <w:rsid w:val="00D562AC"/>
    <w:rsid w:val="00D568E2"/>
    <w:rsid w:val="00D56DAD"/>
    <w:rsid w:val="00D6197B"/>
    <w:rsid w:val="00D61D12"/>
    <w:rsid w:val="00D634C7"/>
    <w:rsid w:val="00D63543"/>
    <w:rsid w:val="00D63B8A"/>
    <w:rsid w:val="00D63FE4"/>
    <w:rsid w:val="00D64454"/>
    <w:rsid w:val="00D646D7"/>
    <w:rsid w:val="00D65771"/>
    <w:rsid w:val="00D65CCB"/>
    <w:rsid w:val="00D70689"/>
    <w:rsid w:val="00D70D0B"/>
    <w:rsid w:val="00D751B6"/>
    <w:rsid w:val="00D82236"/>
    <w:rsid w:val="00D85AD5"/>
    <w:rsid w:val="00D9273F"/>
    <w:rsid w:val="00D928EB"/>
    <w:rsid w:val="00D95028"/>
    <w:rsid w:val="00D9513A"/>
    <w:rsid w:val="00D95809"/>
    <w:rsid w:val="00DA19B0"/>
    <w:rsid w:val="00DA2336"/>
    <w:rsid w:val="00DA2BFC"/>
    <w:rsid w:val="00DA3495"/>
    <w:rsid w:val="00DA4782"/>
    <w:rsid w:val="00DA4FC0"/>
    <w:rsid w:val="00DA6790"/>
    <w:rsid w:val="00DB0A62"/>
    <w:rsid w:val="00DB275D"/>
    <w:rsid w:val="00DB2D0E"/>
    <w:rsid w:val="00DB30E0"/>
    <w:rsid w:val="00DB3E16"/>
    <w:rsid w:val="00DB4825"/>
    <w:rsid w:val="00DB606D"/>
    <w:rsid w:val="00DB6B67"/>
    <w:rsid w:val="00DB74F4"/>
    <w:rsid w:val="00DB7C7B"/>
    <w:rsid w:val="00DC06DB"/>
    <w:rsid w:val="00DC1126"/>
    <w:rsid w:val="00DC2A51"/>
    <w:rsid w:val="00DC3855"/>
    <w:rsid w:val="00DC47CE"/>
    <w:rsid w:val="00DC6BF3"/>
    <w:rsid w:val="00DC785C"/>
    <w:rsid w:val="00DD3305"/>
    <w:rsid w:val="00DD566F"/>
    <w:rsid w:val="00DE00DF"/>
    <w:rsid w:val="00DE0F26"/>
    <w:rsid w:val="00DE1D4D"/>
    <w:rsid w:val="00DE22D0"/>
    <w:rsid w:val="00DE24B9"/>
    <w:rsid w:val="00DE4D10"/>
    <w:rsid w:val="00DE4E99"/>
    <w:rsid w:val="00DE5066"/>
    <w:rsid w:val="00DE57FA"/>
    <w:rsid w:val="00DE5E92"/>
    <w:rsid w:val="00DE63DA"/>
    <w:rsid w:val="00DE71B6"/>
    <w:rsid w:val="00DE7346"/>
    <w:rsid w:val="00DF14D5"/>
    <w:rsid w:val="00DF5261"/>
    <w:rsid w:val="00DF655E"/>
    <w:rsid w:val="00DF6582"/>
    <w:rsid w:val="00DF687C"/>
    <w:rsid w:val="00E00400"/>
    <w:rsid w:val="00E00618"/>
    <w:rsid w:val="00E00AD1"/>
    <w:rsid w:val="00E01CD8"/>
    <w:rsid w:val="00E04293"/>
    <w:rsid w:val="00E04801"/>
    <w:rsid w:val="00E04A85"/>
    <w:rsid w:val="00E05577"/>
    <w:rsid w:val="00E057A6"/>
    <w:rsid w:val="00E06002"/>
    <w:rsid w:val="00E06703"/>
    <w:rsid w:val="00E074BE"/>
    <w:rsid w:val="00E0753A"/>
    <w:rsid w:val="00E07ABB"/>
    <w:rsid w:val="00E104C8"/>
    <w:rsid w:val="00E11AE7"/>
    <w:rsid w:val="00E123A5"/>
    <w:rsid w:val="00E13C5A"/>
    <w:rsid w:val="00E14353"/>
    <w:rsid w:val="00E14774"/>
    <w:rsid w:val="00E1565A"/>
    <w:rsid w:val="00E16120"/>
    <w:rsid w:val="00E16154"/>
    <w:rsid w:val="00E16E26"/>
    <w:rsid w:val="00E20920"/>
    <w:rsid w:val="00E210A5"/>
    <w:rsid w:val="00E21639"/>
    <w:rsid w:val="00E236E2"/>
    <w:rsid w:val="00E237D3"/>
    <w:rsid w:val="00E23A93"/>
    <w:rsid w:val="00E2575C"/>
    <w:rsid w:val="00E26793"/>
    <w:rsid w:val="00E27B4E"/>
    <w:rsid w:val="00E27C37"/>
    <w:rsid w:val="00E27E56"/>
    <w:rsid w:val="00E303EC"/>
    <w:rsid w:val="00E30532"/>
    <w:rsid w:val="00E30816"/>
    <w:rsid w:val="00E31272"/>
    <w:rsid w:val="00E31E01"/>
    <w:rsid w:val="00E323EA"/>
    <w:rsid w:val="00E324FE"/>
    <w:rsid w:val="00E32A60"/>
    <w:rsid w:val="00E32A8D"/>
    <w:rsid w:val="00E349A2"/>
    <w:rsid w:val="00E34B99"/>
    <w:rsid w:val="00E3632B"/>
    <w:rsid w:val="00E3636F"/>
    <w:rsid w:val="00E369C1"/>
    <w:rsid w:val="00E36E2D"/>
    <w:rsid w:val="00E37C3C"/>
    <w:rsid w:val="00E37DBB"/>
    <w:rsid w:val="00E4044C"/>
    <w:rsid w:val="00E40EC4"/>
    <w:rsid w:val="00E4134C"/>
    <w:rsid w:val="00E42412"/>
    <w:rsid w:val="00E425BC"/>
    <w:rsid w:val="00E4327B"/>
    <w:rsid w:val="00E43312"/>
    <w:rsid w:val="00E45E01"/>
    <w:rsid w:val="00E46A05"/>
    <w:rsid w:val="00E46ED1"/>
    <w:rsid w:val="00E47D5B"/>
    <w:rsid w:val="00E5048E"/>
    <w:rsid w:val="00E51538"/>
    <w:rsid w:val="00E533C5"/>
    <w:rsid w:val="00E53521"/>
    <w:rsid w:val="00E538DD"/>
    <w:rsid w:val="00E552DA"/>
    <w:rsid w:val="00E55683"/>
    <w:rsid w:val="00E57482"/>
    <w:rsid w:val="00E60CA0"/>
    <w:rsid w:val="00E62136"/>
    <w:rsid w:val="00E6269F"/>
    <w:rsid w:val="00E671A7"/>
    <w:rsid w:val="00E67FF1"/>
    <w:rsid w:val="00E7040E"/>
    <w:rsid w:val="00E71864"/>
    <w:rsid w:val="00E721E4"/>
    <w:rsid w:val="00E723C2"/>
    <w:rsid w:val="00E735CF"/>
    <w:rsid w:val="00E756B6"/>
    <w:rsid w:val="00E7586B"/>
    <w:rsid w:val="00E75ED6"/>
    <w:rsid w:val="00E7619E"/>
    <w:rsid w:val="00E77356"/>
    <w:rsid w:val="00E77367"/>
    <w:rsid w:val="00E77EA1"/>
    <w:rsid w:val="00E8029D"/>
    <w:rsid w:val="00E808CA"/>
    <w:rsid w:val="00E816F9"/>
    <w:rsid w:val="00E82657"/>
    <w:rsid w:val="00E83201"/>
    <w:rsid w:val="00E8340E"/>
    <w:rsid w:val="00E85FCE"/>
    <w:rsid w:val="00E8660A"/>
    <w:rsid w:val="00E86E0C"/>
    <w:rsid w:val="00E902B6"/>
    <w:rsid w:val="00E91B38"/>
    <w:rsid w:val="00E937C2"/>
    <w:rsid w:val="00E947B8"/>
    <w:rsid w:val="00E94E74"/>
    <w:rsid w:val="00E95C1F"/>
    <w:rsid w:val="00E96254"/>
    <w:rsid w:val="00E975B4"/>
    <w:rsid w:val="00EA25F6"/>
    <w:rsid w:val="00EA472F"/>
    <w:rsid w:val="00EA5DFA"/>
    <w:rsid w:val="00EA65E4"/>
    <w:rsid w:val="00EB13A0"/>
    <w:rsid w:val="00EB1B76"/>
    <w:rsid w:val="00EB2537"/>
    <w:rsid w:val="00EB2D0C"/>
    <w:rsid w:val="00EB405E"/>
    <w:rsid w:val="00EB4E6C"/>
    <w:rsid w:val="00EB72E8"/>
    <w:rsid w:val="00EC10DE"/>
    <w:rsid w:val="00EC1BD2"/>
    <w:rsid w:val="00EC1C4F"/>
    <w:rsid w:val="00EC3920"/>
    <w:rsid w:val="00EC3B74"/>
    <w:rsid w:val="00EC4DF4"/>
    <w:rsid w:val="00EC5DD2"/>
    <w:rsid w:val="00EC6D69"/>
    <w:rsid w:val="00EC7055"/>
    <w:rsid w:val="00EC789F"/>
    <w:rsid w:val="00EC7EAA"/>
    <w:rsid w:val="00ED001D"/>
    <w:rsid w:val="00ED0DA6"/>
    <w:rsid w:val="00ED0DEC"/>
    <w:rsid w:val="00ED1342"/>
    <w:rsid w:val="00ED2385"/>
    <w:rsid w:val="00ED3003"/>
    <w:rsid w:val="00ED3AD5"/>
    <w:rsid w:val="00ED3B80"/>
    <w:rsid w:val="00ED3CAF"/>
    <w:rsid w:val="00ED4B84"/>
    <w:rsid w:val="00ED5AE7"/>
    <w:rsid w:val="00ED65D4"/>
    <w:rsid w:val="00ED7972"/>
    <w:rsid w:val="00EE1D2F"/>
    <w:rsid w:val="00EE22C0"/>
    <w:rsid w:val="00EE3B65"/>
    <w:rsid w:val="00EE3DB7"/>
    <w:rsid w:val="00EE414F"/>
    <w:rsid w:val="00EE4A3D"/>
    <w:rsid w:val="00EE55E9"/>
    <w:rsid w:val="00EF065D"/>
    <w:rsid w:val="00EF1B48"/>
    <w:rsid w:val="00EF1DDC"/>
    <w:rsid w:val="00EF3AB7"/>
    <w:rsid w:val="00EF3DE3"/>
    <w:rsid w:val="00EF75B4"/>
    <w:rsid w:val="00EF793E"/>
    <w:rsid w:val="00F015B4"/>
    <w:rsid w:val="00F0224D"/>
    <w:rsid w:val="00F032C2"/>
    <w:rsid w:val="00F040CC"/>
    <w:rsid w:val="00F048DB"/>
    <w:rsid w:val="00F059B4"/>
    <w:rsid w:val="00F1025E"/>
    <w:rsid w:val="00F116FB"/>
    <w:rsid w:val="00F11A98"/>
    <w:rsid w:val="00F1379B"/>
    <w:rsid w:val="00F13F0B"/>
    <w:rsid w:val="00F266BE"/>
    <w:rsid w:val="00F2712E"/>
    <w:rsid w:val="00F31503"/>
    <w:rsid w:val="00F316EB"/>
    <w:rsid w:val="00F32707"/>
    <w:rsid w:val="00F33749"/>
    <w:rsid w:val="00F34973"/>
    <w:rsid w:val="00F35ADE"/>
    <w:rsid w:val="00F36649"/>
    <w:rsid w:val="00F37B09"/>
    <w:rsid w:val="00F41EEA"/>
    <w:rsid w:val="00F428EE"/>
    <w:rsid w:val="00F42B64"/>
    <w:rsid w:val="00F44F03"/>
    <w:rsid w:val="00F46059"/>
    <w:rsid w:val="00F4721C"/>
    <w:rsid w:val="00F47873"/>
    <w:rsid w:val="00F50616"/>
    <w:rsid w:val="00F525B5"/>
    <w:rsid w:val="00F54D6F"/>
    <w:rsid w:val="00F54FB5"/>
    <w:rsid w:val="00F6294C"/>
    <w:rsid w:val="00F65EC7"/>
    <w:rsid w:val="00F66747"/>
    <w:rsid w:val="00F66E98"/>
    <w:rsid w:val="00F67491"/>
    <w:rsid w:val="00F67B73"/>
    <w:rsid w:val="00F70522"/>
    <w:rsid w:val="00F70AEB"/>
    <w:rsid w:val="00F7132F"/>
    <w:rsid w:val="00F71D91"/>
    <w:rsid w:val="00F72A72"/>
    <w:rsid w:val="00F758FA"/>
    <w:rsid w:val="00F7661B"/>
    <w:rsid w:val="00F768AE"/>
    <w:rsid w:val="00F769CD"/>
    <w:rsid w:val="00F76C84"/>
    <w:rsid w:val="00F76CA5"/>
    <w:rsid w:val="00F80719"/>
    <w:rsid w:val="00F80A78"/>
    <w:rsid w:val="00F83041"/>
    <w:rsid w:val="00F8380D"/>
    <w:rsid w:val="00F85464"/>
    <w:rsid w:val="00F85D4F"/>
    <w:rsid w:val="00F85DA4"/>
    <w:rsid w:val="00F879EC"/>
    <w:rsid w:val="00F906A8"/>
    <w:rsid w:val="00F90907"/>
    <w:rsid w:val="00F92A35"/>
    <w:rsid w:val="00F92C61"/>
    <w:rsid w:val="00F94AAB"/>
    <w:rsid w:val="00F94F30"/>
    <w:rsid w:val="00F9527D"/>
    <w:rsid w:val="00F96C1B"/>
    <w:rsid w:val="00FA1C81"/>
    <w:rsid w:val="00FA4341"/>
    <w:rsid w:val="00FA7DD6"/>
    <w:rsid w:val="00FB0828"/>
    <w:rsid w:val="00FB2FA9"/>
    <w:rsid w:val="00FB3F95"/>
    <w:rsid w:val="00FB56FE"/>
    <w:rsid w:val="00FB5DB4"/>
    <w:rsid w:val="00FB6A9F"/>
    <w:rsid w:val="00FB6DD6"/>
    <w:rsid w:val="00FB7D6B"/>
    <w:rsid w:val="00FC0943"/>
    <w:rsid w:val="00FC3D94"/>
    <w:rsid w:val="00FC4810"/>
    <w:rsid w:val="00FD1B44"/>
    <w:rsid w:val="00FD2D0D"/>
    <w:rsid w:val="00FD3A72"/>
    <w:rsid w:val="00FD5201"/>
    <w:rsid w:val="00FD5EE4"/>
    <w:rsid w:val="00FD6476"/>
    <w:rsid w:val="00FD6C86"/>
    <w:rsid w:val="00FD7495"/>
    <w:rsid w:val="00FE05C5"/>
    <w:rsid w:val="00FE396F"/>
    <w:rsid w:val="00FE528E"/>
    <w:rsid w:val="00FE5941"/>
    <w:rsid w:val="00FE7B05"/>
    <w:rsid w:val="00FF06BA"/>
    <w:rsid w:val="00FF0A9B"/>
    <w:rsid w:val="00FF10B6"/>
    <w:rsid w:val="00FF2BF2"/>
    <w:rsid w:val="00FF38A5"/>
    <w:rsid w:val="00FF47CB"/>
    <w:rsid w:val="00FF4E93"/>
    <w:rsid w:val="00FF57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669C4FBF-7665-446E-92BA-61C931649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style>
  <w:style w:type="paragraph" w:styleId="Heading5">
    <w:name w:val="heading 5"/>
    <w:basedOn w:val="Normal"/>
    <w:next w:val="Normal"/>
    <w:link w:val="Heading5Char"/>
    <w:qFormat/>
    <w:rsid w:val="00FB3F95"/>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4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DD8"/>
    <w:rPr>
      <w:rFonts w:ascii="Tahoma" w:hAnsi="Tahoma" w:cs="Tahoma"/>
      <w:sz w:val="16"/>
      <w:szCs w:val="16"/>
    </w:rPr>
  </w:style>
  <w:style w:type="character" w:styleId="Strong">
    <w:name w:val="Strong"/>
    <w:basedOn w:val="DefaultParagraphFont"/>
    <w:uiPriority w:val="22"/>
    <w:qFormat/>
    <w:rsid w:val="003F4DD8"/>
    <w:rPr>
      <w:b/>
      <w:bCs/>
    </w:rPr>
  </w:style>
  <w:style w:type="paragraph" w:styleId="Header">
    <w:name w:val="header"/>
    <w:basedOn w:val="Normal"/>
    <w:link w:val="HeaderChar"/>
    <w:uiPriority w:val="99"/>
    <w:unhideWhenUsed/>
    <w:rsid w:val="00670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B7E"/>
  </w:style>
  <w:style w:type="paragraph" w:styleId="Footer">
    <w:name w:val="footer"/>
    <w:basedOn w:val="Normal"/>
    <w:link w:val="FooterChar"/>
    <w:uiPriority w:val="99"/>
    <w:unhideWhenUsed/>
    <w:rsid w:val="00670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B7E"/>
  </w:style>
  <w:style w:type="character" w:styleId="Hyperlink">
    <w:name w:val="Hyperlink"/>
    <w:basedOn w:val="DefaultParagraphFont"/>
    <w:uiPriority w:val="99"/>
    <w:unhideWhenUsed/>
    <w:rsid w:val="00F70AEB"/>
    <w:rPr>
      <w:color w:val="0000FF" w:themeColor="hyperlink"/>
      <w:u w:val="single"/>
    </w:rPr>
  </w:style>
  <w:style w:type="paragraph" w:styleId="ListParagraph">
    <w:name w:val="List Paragraph"/>
    <w:basedOn w:val="Normal"/>
    <w:qFormat/>
    <w:rsid w:val="00DA2BFC"/>
    <w:pPr>
      <w:ind w:left="720"/>
      <w:contextualSpacing/>
    </w:pPr>
    <w:rPr>
      <w:rFonts w:eastAsiaTheme="minorEastAsia"/>
      <w:lang w:val="en-IN" w:eastAsia="en-IN"/>
    </w:rPr>
  </w:style>
  <w:style w:type="paragraph" w:styleId="NoSpacing">
    <w:name w:val="No Spacing"/>
    <w:uiPriority w:val="1"/>
    <w:qFormat/>
    <w:rsid w:val="00DA2BFC"/>
    <w:pPr>
      <w:spacing w:after="0" w:line="240" w:lineRule="auto"/>
    </w:pPr>
    <w:rPr>
      <w:rFonts w:eastAsiaTheme="minorEastAsia"/>
      <w:lang w:val="en-IN" w:eastAsia="en-IN"/>
    </w:rPr>
  </w:style>
  <w:style w:type="character" w:customStyle="1" w:styleId="apple-converted-space">
    <w:name w:val="apple-converted-space"/>
    <w:basedOn w:val="DefaultParagraphFont"/>
    <w:rsid w:val="00F71D91"/>
  </w:style>
  <w:style w:type="character" w:customStyle="1" w:styleId="Heading5Char">
    <w:name w:val="Heading 5 Char"/>
    <w:basedOn w:val="DefaultParagraphFont"/>
    <w:link w:val="Heading5"/>
    <w:rsid w:val="00FB3F95"/>
    <w:rPr>
      <w:rFonts w:ascii="Times New Roman" w:eastAsia="PMingLiU" w:hAnsi="Times New Roman" w:cs="Times New Roman"/>
      <w:sz w:val="18"/>
      <w:szCs w:val="18"/>
    </w:rPr>
  </w:style>
  <w:style w:type="table" w:styleId="TableGrid">
    <w:name w:val="Table Grid"/>
    <w:basedOn w:val="TableNormal"/>
    <w:uiPriority w:val="59"/>
    <w:rsid w:val="00FB3F9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092662">
      <w:bodyDiv w:val="1"/>
      <w:marLeft w:val="0"/>
      <w:marRight w:val="0"/>
      <w:marTop w:val="0"/>
      <w:marBottom w:val="0"/>
      <w:divBdr>
        <w:top w:val="none" w:sz="0" w:space="0" w:color="auto"/>
        <w:left w:val="none" w:sz="0" w:space="0" w:color="auto"/>
        <w:bottom w:val="none" w:sz="0" w:space="0" w:color="auto"/>
        <w:right w:val="none" w:sz="0" w:space="0" w:color="auto"/>
      </w:divBdr>
    </w:div>
    <w:div w:id="774249770">
      <w:bodyDiv w:val="1"/>
      <w:marLeft w:val="0"/>
      <w:marRight w:val="0"/>
      <w:marTop w:val="0"/>
      <w:marBottom w:val="0"/>
      <w:divBdr>
        <w:top w:val="none" w:sz="0" w:space="0" w:color="auto"/>
        <w:left w:val="none" w:sz="0" w:space="0" w:color="auto"/>
        <w:bottom w:val="none" w:sz="0" w:space="0" w:color="auto"/>
        <w:right w:val="none" w:sz="0" w:space="0" w:color="auto"/>
      </w:divBdr>
      <w:divsChild>
        <w:div w:id="254479754">
          <w:marLeft w:val="0"/>
          <w:marRight w:val="0"/>
          <w:marTop w:val="0"/>
          <w:marBottom w:val="0"/>
          <w:divBdr>
            <w:top w:val="none" w:sz="0" w:space="0" w:color="auto"/>
            <w:left w:val="none" w:sz="0" w:space="0" w:color="auto"/>
            <w:bottom w:val="none" w:sz="0" w:space="0" w:color="auto"/>
            <w:right w:val="none" w:sz="0" w:space="0" w:color="auto"/>
          </w:divBdr>
        </w:div>
        <w:div w:id="1681157103">
          <w:marLeft w:val="0"/>
          <w:marRight w:val="0"/>
          <w:marTop w:val="0"/>
          <w:marBottom w:val="0"/>
          <w:divBdr>
            <w:top w:val="none" w:sz="0" w:space="0" w:color="auto"/>
            <w:left w:val="none" w:sz="0" w:space="0" w:color="auto"/>
            <w:bottom w:val="none" w:sz="0" w:space="0" w:color="auto"/>
            <w:right w:val="none" w:sz="0" w:space="0" w:color="auto"/>
          </w:divBdr>
        </w:div>
        <w:div w:id="1338313823">
          <w:marLeft w:val="0"/>
          <w:marRight w:val="0"/>
          <w:marTop w:val="0"/>
          <w:marBottom w:val="0"/>
          <w:divBdr>
            <w:top w:val="none" w:sz="0" w:space="0" w:color="auto"/>
            <w:left w:val="none" w:sz="0" w:space="0" w:color="auto"/>
            <w:bottom w:val="none" w:sz="0" w:space="0" w:color="auto"/>
            <w:right w:val="none" w:sz="0" w:space="0" w:color="auto"/>
          </w:divBdr>
        </w:div>
        <w:div w:id="792749258">
          <w:marLeft w:val="0"/>
          <w:marRight w:val="0"/>
          <w:marTop w:val="0"/>
          <w:marBottom w:val="0"/>
          <w:divBdr>
            <w:top w:val="none" w:sz="0" w:space="0" w:color="auto"/>
            <w:left w:val="none" w:sz="0" w:space="0" w:color="auto"/>
            <w:bottom w:val="none" w:sz="0" w:space="0" w:color="auto"/>
            <w:right w:val="none" w:sz="0" w:space="0" w:color="auto"/>
          </w:divBdr>
        </w:div>
        <w:div w:id="1085608033">
          <w:marLeft w:val="0"/>
          <w:marRight w:val="0"/>
          <w:marTop w:val="0"/>
          <w:marBottom w:val="0"/>
          <w:divBdr>
            <w:top w:val="none" w:sz="0" w:space="0" w:color="auto"/>
            <w:left w:val="none" w:sz="0" w:space="0" w:color="auto"/>
            <w:bottom w:val="none" w:sz="0" w:space="0" w:color="auto"/>
            <w:right w:val="none" w:sz="0" w:space="0" w:color="auto"/>
          </w:divBdr>
        </w:div>
        <w:div w:id="1912275068">
          <w:marLeft w:val="0"/>
          <w:marRight w:val="0"/>
          <w:marTop w:val="0"/>
          <w:marBottom w:val="0"/>
          <w:divBdr>
            <w:top w:val="none" w:sz="0" w:space="0" w:color="auto"/>
            <w:left w:val="none" w:sz="0" w:space="0" w:color="auto"/>
            <w:bottom w:val="none" w:sz="0" w:space="0" w:color="auto"/>
            <w:right w:val="none" w:sz="0" w:space="0" w:color="auto"/>
          </w:divBdr>
        </w:div>
        <w:div w:id="250549109">
          <w:marLeft w:val="0"/>
          <w:marRight w:val="0"/>
          <w:marTop w:val="0"/>
          <w:marBottom w:val="0"/>
          <w:divBdr>
            <w:top w:val="none" w:sz="0" w:space="0" w:color="auto"/>
            <w:left w:val="none" w:sz="0" w:space="0" w:color="auto"/>
            <w:bottom w:val="none" w:sz="0" w:space="0" w:color="auto"/>
            <w:right w:val="none" w:sz="0" w:space="0" w:color="auto"/>
          </w:divBdr>
        </w:div>
        <w:div w:id="1856073294">
          <w:marLeft w:val="0"/>
          <w:marRight w:val="0"/>
          <w:marTop w:val="0"/>
          <w:marBottom w:val="0"/>
          <w:divBdr>
            <w:top w:val="none" w:sz="0" w:space="0" w:color="auto"/>
            <w:left w:val="none" w:sz="0" w:space="0" w:color="auto"/>
            <w:bottom w:val="none" w:sz="0" w:space="0" w:color="auto"/>
            <w:right w:val="none" w:sz="0" w:space="0" w:color="auto"/>
          </w:divBdr>
        </w:div>
        <w:div w:id="1632393637">
          <w:marLeft w:val="0"/>
          <w:marRight w:val="0"/>
          <w:marTop w:val="0"/>
          <w:marBottom w:val="0"/>
          <w:divBdr>
            <w:top w:val="none" w:sz="0" w:space="0" w:color="auto"/>
            <w:left w:val="none" w:sz="0" w:space="0" w:color="auto"/>
            <w:bottom w:val="none" w:sz="0" w:space="0" w:color="auto"/>
            <w:right w:val="none" w:sz="0" w:space="0" w:color="auto"/>
          </w:divBdr>
        </w:div>
      </w:divsChild>
    </w:div>
    <w:div w:id="856501140">
      <w:bodyDiv w:val="1"/>
      <w:marLeft w:val="0"/>
      <w:marRight w:val="0"/>
      <w:marTop w:val="0"/>
      <w:marBottom w:val="0"/>
      <w:divBdr>
        <w:top w:val="none" w:sz="0" w:space="0" w:color="auto"/>
        <w:left w:val="none" w:sz="0" w:space="0" w:color="auto"/>
        <w:bottom w:val="none" w:sz="0" w:space="0" w:color="auto"/>
        <w:right w:val="none" w:sz="0" w:space="0" w:color="auto"/>
      </w:divBdr>
    </w:div>
    <w:div w:id="203923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amazon.com/s/ref=ntt_athr_dp_sr_3?_encoding=UTF8&amp;field-author=Mary%20Tinetti&amp;ie=UTF8&amp;search-alias=books&amp;sort=relevancerank" TargetMode="External"/><Relationship Id="rId26" Type="http://schemas.openxmlformats.org/officeDocument/2006/relationships/hyperlink" Target="http://www.ncbi.nlm.nih.gov/pubmed?term=Folstein%20MF%5BAuthor%5D&amp;cauthor=true&amp;cauthor_uid=1202204" TargetMode="External"/><Relationship Id="rId3" Type="http://schemas.openxmlformats.org/officeDocument/2006/relationships/styles" Target="styles.xml"/><Relationship Id="rId21" Type="http://schemas.openxmlformats.org/officeDocument/2006/relationships/hyperlink" Target="http://www.ncbi.nlm.nih.gov/pubmed/?term=Reginster%20JY%5Bauth%5D"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amazon.com/s/ref=ntt_athr_dp_sr_2?_encoding=UTF8&amp;field-author=Joseph%20Ouslander&amp;ie=UTF8&amp;search-alias=books&amp;sort=relevancerank" TargetMode="External"/><Relationship Id="rId25" Type="http://schemas.openxmlformats.org/officeDocument/2006/relationships/hyperlink" Target="http://www.ncbi.nlm.nih.gov/pubmed/23466759" TargetMode="External"/><Relationship Id="rId2" Type="http://schemas.openxmlformats.org/officeDocument/2006/relationships/numbering" Target="numbering.xml"/><Relationship Id="rId16" Type="http://schemas.openxmlformats.org/officeDocument/2006/relationships/hyperlink" Target="http://www.amazon.com/s/ref=ntt_athr_dp_sr_1?_encoding=UTF8&amp;field-author=Jeffrey%20Halter&amp;ie=UTF8&amp;search-alias=books&amp;sort=relevancerank" TargetMode="External"/><Relationship Id="rId20" Type="http://schemas.openxmlformats.org/officeDocument/2006/relationships/hyperlink" Target="http://www.ncbi.nlm.nih.gov/pubmed/?term=Rolland%20Y%5Bauth%5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ncbi.nlm.nih.gov/pubmed?term=Chuah%20JA%5BAuthor%5D&amp;cauthor=true&amp;cauthor_uid=23466759" TargetMode="External"/><Relationship Id="rId5" Type="http://schemas.openxmlformats.org/officeDocument/2006/relationships/webSettings" Target="webSettings.xml"/><Relationship Id="rId15" Type="http://schemas.openxmlformats.org/officeDocument/2006/relationships/hyperlink" Target="https://www.ncbi.nlm.nih.gov/pubmed/?term=Laughlin%20GA%5BAuthor%5D&amp;cauthor=true&amp;cauthor_uid=21236707" TargetMode="External"/><Relationship Id="rId23" Type="http://schemas.openxmlformats.org/officeDocument/2006/relationships/hyperlink" Target="http://www.ncbi.nlm.nih.gov/pubmed?term=Ariffin%20AZ%5BAuthor%5D&amp;cauthor=true&amp;cauthor_uid=23466759" TargetMode="External"/><Relationship Id="rId28" Type="http://schemas.openxmlformats.org/officeDocument/2006/relationships/hyperlink" Target="http://www.ncbi.nlm.nih.gov/pubmed?term=McHugh%20PR%5BAuthor%5D&amp;cauthor=true&amp;cauthor_uid=1202204" TargetMode="External"/><Relationship Id="rId10" Type="http://schemas.openxmlformats.org/officeDocument/2006/relationships/footer" Target="footer1.xml"/><Relationship Id="rId19" Type="http://schemas.openxmlformats.org/officeDocument/2006/relationships/hyperlink" Target="http://www.ncbi.nlm.nih.gov/pubmed/?term=Buckinx%20F%5Bauth%5D"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 Id="rId22" Type="http://schemas.openxmlformats.org/officeDocument/2006/relationships/hyperlink" Target="http://www.ncbi.nlm.nih.gov/pubmed?term=Leong%20BD%5BAuthor%5D&amp;cauthor=true&amp;cauthor_uid=23466759" TargetMode="External"/><Relationship Id="rId27" Type="http://schemas.openxmlformats.org/officeDocument/2006/relationships/hyperlink" Target="http://www.ncbi.nlm.nih.gov/pubmed?term=Folstein%20SE%5BAuthor%5D&amp;cauthor=true&amp;cauthor_uid=1202204"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ijmp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themeOverride" Target="../theme/themeOverride1.xml"/><Relationship Id="rId6" Type="http://schemas.openxmlformats.org/officeDocument/2006/relationships/package" Target="../embeddings/Microsoft_Excel_Worksheet1.xlsx"/><Relationship Id="rId5" Type="http://schemas.openxmlformats.org/officeDocument/2006/relationships/image" Target="../media/image5.jpeg"/><Relationship Id="rId4" Type="http://schemas.openxmlformats.org/officeDocument/2006/relationships/image" Target="../media/image4.jpeg"/></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8377202946239346"/>
          <c:y val="1.9082696141063626E-2"/>
          <c:w val="0.61464374879969275"/>
          <c:h val="0.88974479374147164"/>
        </c:manualLayout>
      </c:layout>
      <c:pieChart>
        <c:varyColors val="1"/>
        <c:ser>
          <c:idx val="0"/>
          <c:order val="0"/>
          <c:spPr>
            <a:ln w="11993">
              <a:solidFill>
                <a:srgbClr val="000000"/>
              </a:solidFill>
              <a:prstDash val="solid"/>
            </a:ln>
            <a:effectLst>
              <a:outerShdw blurRad="50800" dist="38100" dir="2700000" algn="tl" rotWithShape="0">
                <a:prstClr val="black">
                  <a:alpha val="40000"/>
                </a:prstClr>
              </a:outerShdw>
            </a:effectLst>
            <a:scene3d>
              <a:camera prst="orthographicFront"/>
              <a:lightRig rig="threePt" dir="t"/>
            </a:scene3d>
            <a:sp3d>
              <a:bevelT w="254000" h="82550"/>
            </a:sp3d>
          </c:spPr>
          <c:explosion val="5"/>
          <c:dPt>
            <c:idx val="0"/>
            <c:bubble3D val="0"/>
            <c:spPr>
              <a:blipFill>
                <a:blip xmlns:r="http://schemas.openxmlformats.org/officeDocument/2006/relationships" r:embed="rId2"/>
                <a:stretch>
                  <a:fillRect/>
                </a:stretch>
              </a:blipFill>
              <a:ln w="11993">
                <a:solidFill>
                  <a:srgbClr val="000000"/>
                </a:solidFill>
                <a:prstDash val="solid"/>
              </a:ln>
              <a:effectLst>
                <a:outerShdw blurRad="50800" dist="38100" dir="2700000" algn="tl" rotWithShape="0">
                  <a:prstClr val="black">
                    <a:alpha val="40000"/>
                  </a:prstClr>
                </a:outerShdw>
              </a:effectLst>
              <a:scene3d>
                <a:camera prst="orthographicFront"/>
                <a:lightRig rig="threePt" dir="t"/>
              </a:scene3d>
              <a:sp3d>
                <a:bevelT w="254000" h="82550"/>
              </a:sp3d>
            </c:spPr>
          </c:dPt>
          <c:dPt>
            <c:idx val="1"/>
            <c:bubble3D val="0"/>
            <c:spPr>
              <a:blipFill>
                <a:blip xmlns:r="http://schemas.openxmlformats.org/officeDocument/2006/relationships" r:embed="rId3"/>
                <a:stretch>
                  <a:fillRect/>
                </a:stretch>
              </a:blipFill>
              <a:ln w="11993">
                <a:solidFill>
                  <a:srgbClr val="000000"/>
                </a:solidFill>
                <a:prstDash val="solid"/>
              </a:ln>
              <a:effectLst>
                <a:outerShdw blurRad="50800" dist="38100" dir="2700000" algn="tl" rotWithShape="0">
                  <a:prstClr val="black">
                    <a:alpha val="40000"/>
                  </a:prstClr>
                </a:outerShdw>
              </a:effectLst>
              <a:scene3d>
                <a:camera prst="orthographicFront"/>
                <a:lightRig rig="threePt" dir="t"/>
              </a:scene3d>
              <a:sp3d>
                <a:bevelT w="254000" h="82550"/>
              </a:sp3d>
            </c:spPr>
          </c:dPt>
          <c:dPt>
            <c:idx val="2"/>
            <c:bubble3D val="0"/>
            <c:spPr>
              <a:blipFill>
                <a:blip xmlns:r="http://schemas.openxmlformats.org/officeDocument/2006/relationships" r:embed="rId4"/>
                <a:stretch>
                  <a:fillRect/>
                </a:stretch>
              </a:blipFill>
              <a:ln w="11993">
                <a:solidFill>
                  <a:srgbClr val="000000"/>
                </a:solidFill>
                <a:prstDash val="solid"/>
              </a:ln>
              <a:effectLst>
                <a:outerShdw blurRad="50800" dist="38100" dir="2700000" algn="tl" rotWithShape="0">
                  <a:prstClr val="black">
                    <a:alpha val="40000"/>
                  </a:prstClr>
                </a:outerShdw>
              </a:effectLst>
              <a:scene3d>
                <a:camera prst="orthographicFront"/>
                <a:lightRig rig="threePt" dir="t"/>
              </a:scene3d>
              <a:sp3d>
                <a:bevelT w="254000" h="82550"/>
              </a:sp3d>
            </c:spPr>
          </c:dPt>
          <c:dLbls>
            <c:dLbl>
              <c:idx val="0"/>
              <c:layout>
                <c:manualLayout>
                  <c:x val="2.0078925489185825E-2"/>
                  <c:y val="7.0853788593236378E-2"/>
                </c:manualLayout>
              </c:layout>
              <c:numFmt formatCode="0.00%" sourceLinked="0"/>
              <c:spPr>
                <a:noFill/>
                <a:ln w="23985">
                  <a:noFill/>
                </a:ln>
              </c:spPr>
              <c:txPr>
                <a:bodyPr/>
                <a:lstStyle/>
                <a:p>
                  <a:pPr>
                    <a:defRPr lang="en-US" sz="897" b="1" i="0" u="none" strike="noStrike" baseline="0">
                      <a:solidFill>
                        <a:srgbClr val="000000"/>
                      </a:solidFill>
                      <a:latin typeface="Arial"/>
                      <a:ea typeface="Arial"/>
                      <a:cs typeface="Arial"/>
                    </a:defRPr>
                  </a:pPr>
                  <a:endParaRPr lang="en-US"/>
                </a:p>
              </c:txPr>
              <c:dLblPos val="bestFit"/>
              <c:showLegendKey val="0"/>
              <c:showVal val="1"/>
              <c:showCatName val="1"/>
              <c:showSerName val="0"/>
              <c:showPercent val="1"/>
              <c:showBubbleSize val="0"/>
              <c:extLst>
                <c:ext xmlns:c15="http://schemas.microsoft.com/office/drawing/2012/chart" uri="{CE6537A1-D6FC-4f65-9D91-7224C49458BB}"/>
              </c:extLst>
            </c:dLbl>
            <c:dLbl>
              <c:idx val="1"/>
              <c:layout>
                <c:manualLayout>
                  <c:x val="1.379673759031348E-2"/>
                  <c:y val="-1.2874525328363294E-2"/>
                </c:manualLayout>
              </c:layout>
              <c:numFmt formatCode="0.00%" sourceLinked="0"/>
              <c:spPr>
                <a:noFill/>
                <a:ln w="23985">
                  <a:noFill/>
                </a:ln>
              </c:spPr>
              <c:txPr>
                <a:bodyPr/>
                <a:lstStyle/>
                <a:p>
                  <a:pPr>
                    <a:defRPr lang="en-US" sz="897" b="1" i="0" u="none" strike="noStrike" baseline="0">
                      <a:solidFill>
                        <a:srgbClr val="000000"/>
                      </a:solidFill>
                      <a:latin typeface="Arial"/>
                      <a:ea typeface="Arial"/>
                      <a:cs typeface="Arial"/>
                    </a:defRPr>
                  </a:pPr>
                  <a:endParaRPr lang="en-US"/>
                </a:p>
              </c:txPr>
              <c:dLblPos val="bestFit"/>
              <c:showLegendKey val="0"/>
              <c:showVal val="1"/>
              <c:showCatName val="1"/>
              <c:showSerName val="0"/>
              <c:showPercent val="1"/>
              <c:showBubbleSize val="0"/>
              <c:extLst>
                <c:ext xmlns:c15="http://schemas.microsoft.com/office/drawing/2012/chart" uri="{CE6537A1-D6FC-4f65-9D91-7224C49458BB}"/>
              </c:extLst>
            </c:dLbl>
            <c:dLbl>
              <c:idx val="2"/>
              <c:layout>
                <c:manualLayout>
                  <c:x val="1.7541131421478513E-2"/>
                  <c:y val="0.2612390650095901"/>
                </c:manualLayout>
              </c:layout>
              <c:numFmt formatCode="0.00%" sourceLinked="0"/>
              <c:spPr>
                <a:noFill/>
                <a:ln w="23985">
                  <a:noFill/>
                </a:ln>
              </c:spPr>
              <c:txPr>
                <a:bodyPr/>
                <a:lstStyle/>
                <a:p>
                  <a:pPr>
                    <a:defRPr lang="en-US" sz="897" b="1" i="0" u="none" strike="noStrike" baseline="0">
                      <a:solidFill>
                        <a:srgbClr val="000000"/>
                      </a:solidFill>
                      <a:latin typeface="Arial"/>
                      <a:ea typeface="Arial"/>
                      <a:cs typeface="Arial"/>
                    </a:defRPr>
                  </a:pPr>
                  <a:endParaRPr lang="en-US"/>
                </a:p>
              </c:txPr>
              <c:dLblPos val="bestFit"/>
              <c:showLegendKey val="0"/>
              <c:showVal val="1"/>
              <c:showCatName val="1"/>
              <c:showSerName val="0"/>
              <c:showPercent val="1"/>
              <c:showBubbleSize val="0"/>
              <c:extLst>
                <c:ext xmlns:c15="http://schemas.microsoft.com/office/drawing/2012/chart" uri="{CE6537A1-D6FC-4f65-9D91-7224C49458BB}"/>
              </c:extLst>
            </c:dLbl>
            <c:dLbl>
              <c:idx val="3"/>
              <c:layout>
                <c:manualLayout>
                  <c:xMode val="edge"/>
                  <c:yMode val="edge"/>
                  <c:x val="0.47740667976424445"/>
                  <c:y val="3.2490974729241909E-2"/>
                </c:manualLayout>
              </c:layout>
              <c:numFmt formatCode="0.00%" sourceLinked="0"/>
              <c:spPr>
                <a:noFill/>
                <a:ln w="23985">
                  <a:noFill/>
                </a:ln>
              </c:spPr>
              <c:txPr>
                <a:bodyPr/>
                <a:lstStyle/>
                <a:p>
                  <a:pPr>
                    <a:defRPr lang="en-US" sz="897" b="1" i="0" u="none" strike="noStrike" baseline="0">
                      <a:solidFill>
                        <a:srgbClr val="000000"/>
                      </a:solidFill>
                      <a:latin typeface="Arial"/>
                      <a:ea typeface="Arial"/>
                      <a:cs typeface="Arial"/>
                    </a:defRPr>
                  </a:pPr>
                  <a:endParaRPr lang="en-US"/>
                </a:p>
              </c:txPr>
              <c:dLblPos val="bestFit"/>
              <c:showLegendKey val="0"/>
              <c:showVal val="1"/>
              <c:showCatName val="1"/>
              <c:showSerName val="0"/>
              <c:showPercent val="1"/>
              <c:showBubbleSize val="0"/>
              <c:extLst>
                <c:ext xmlns:c15="http://schemas.microsoft.com/office/drawing/2012/chart" uri="{CE6537A1-D6FC-4f65-9D91-7224C49458BB}"/>
              </c:extLst>
            </c:dLbl>
            <c:numFmt formatCode="0.00%" sourceLinked="0"/>
            <c:spPr>
              <a:noFill/>
              <a:ln w="23985">
                <a:noFill/>
              </a:ln>
            </c:spPr>
            <c:txPr>
              <a:bodyPr wrap="square" lIns="38100" tIns="19050" rIns="38100" bIns="19050" anchor="ctr">
                <a:spAutoFit/>
              </a:bodyPr>
              <a:lstStyle/>
              <a:p>
                <a:pPr>
                  <a:defRPr lang="en-US" sz="897" b="1" i="0" u="none" strike="noStrike" baseline="0">
                    <a:solidFill>
                      <a:srgbClr val="000000"/>
                    </a:solidFill>
                    <a:latin typeface="Arial"/>
                    <a:ea typeface="Arial"/>
                    <a:cs typeface="Arial"/>
                  </a:defRPr>
                </a:pPr>
                <a:endParaRPr lang="en-US"/>
              </a:p>
            </c:txPr>
            <c:showLegendKey val="0"/>
            <c:showVal val="1"/>
            <c:showCatName val="1"/>
            <c:showSerName val="0"/>
            <c:showPercent val="1"/>
            <c:showBubbleSize val="0"/>
            <c:showLeaderLines val="0"/>
            <c:extLst>
              <c:ext xmlns:c15="http://schemas.microsoft.com/office/drawing/2012/chart" uri="{CE6537A1-D6FC-4f65-9D91-7224C49458BB}"/>
            </c:extLst>
          </c:dLbls>
          <c:cat>
            <c:strRef>
              <c:f>ورقة1!$A$3:$A$6</c:f>
              <c:strCache>
                <c:ptCount val="3"/>
                <c:pt idx="0">
                  <c:v>Non Frail</c:v>
                </c:pt>
                <c:pt idx="1">
                  <c:v>Pre Frail</c:v>
                </c:pt>
                <c:pt idx="2">
                  <c:v>Frail</c:v>
                </c:pt>
              </c:strCache>
            </c:strRef>
          </c:cat>
          <c:val>
            <c:numRef>
              <c:f>ورقة1!$B$3:$B$6</c:f>
              <c:numCache>
                <c:formatCode>General</c:formatCode>
                <c:ptCount val="3"/>
                <c:pt idx="0">
                  <c:v>24</c:v>
                </c:pt>
                <c:pt idx="1">
                  <c:v>20</c:v>
                </c:pt>
                <c:pt idx="2">
                  <c:v>46</c:v>
                </c:pt>
              </c:numCache>
            </c:numRef>
          </c:val>
        </c:ser>
        <c:ser>
          <c:idx val="1"/>
          <c:order val="1"/>
          <c:spPr>
            <a:solidFill>
              <a:srgbClr val="993366"/>
            </a:solidFill>
            <a:ln w="11993">
              <a:solidFill>
                <a:srgbClr val="000000"/>
              </a:solidFill>
              <a:prstDash val="solid"/>
            </a:ln>
          </c:spPr>
          <c:dPt>
            <c:idx val="0"/>
            <c:bubble3D val="0"/>
            <c:spPr>
              <a:solidFill>
                <a:srgbClr val="9999FF"/>
              </a:solidFill>
              <a:ln w="11993">
                <a:solidFill>
                  <a:srgbClr val="000000"/>
                </a:solidFill>
                <a:prstDash val="solid"/>
              </a:ln>
            </c:spPr>
          </c:dPt>
          <c:dPt>
            <c:idx val="2"/>
            <c:bubble3D val="0"/>
            <c:spPr>
              <a:solidFill>
                <a:srgbClr val="FFFFCC"/>
              </a:solidFill>
              <a:ln w="11993">
                <a:solidFill>
                  <a:srgbClr val="000000"/>
                </a:solidFill>
                <a:prstDash val="solid"/>
              </a:ln>
            </c:spPr>
          </c:dPt>
          <c:cat>
            <c:strRef>
              <c:f>ورقة1!$A$3:$A$6</c:f>
              <c:strCache>
                <c:ptCount val="3"/>
                <c:pt idx="0">
                  <c:v>Non Frail</c:v>
                </c:pt>
                <c:pt idx="1">
                  <c:v>Pre Frail</c:v>
                </c:pt>
                <c:pt idx="2">
                  <c:v>Frail</c:v>
                </c:pt>
              </c:strCache>
            </c:strRef>
          </c:cat>
          <c:val>
            <c:numRef>
              <c:f>ورقة1!$C$3:$C$6</c:f>
              <c:numCache>
                <c:formatCode>General</c:formatCode>
                <c:ptCount val="3"/>
                <c:pt idx="0">
                  <c:v>26.67</c:v>
                </c:pt>
                <c:pt idx="1">
                  <c:v>22.22</c:v>
                </c:pt>
                <c:pt idx="2">
                  <c:v>51.11</c:v>
                </c:pt>
              </c:numCache>
            </c:numRef>
          </c:val>
        </c:ser>
        <c:ser>
          <c:idx val="2"/>
          <c:order val="2"/>
          <c:spPr>
            <a:solidFill>
              <a:srgbClr val="FFFFCC"/>
            </a:solidFill>
            <a:ln w="11993">
              <a:solidFill>
                <a:srgbClr val="000000"/>
              </a:solidFill>
              <a:prstDash val="solid"/>
            </a:ln>
          </c:spPr>
          <c:dPt>
            <c:idx val="0"/>
            <c:bubble3D val="0"/>
            <c:spPr>
              <a:solidFill>
                <a:srgbClr val="9999FF"/>
              </a:solidFill>
              <a:ln w="11993">
                <a:solidFill>
                  <a:srgbClr val="000000"/>
                </a:solidFill>
                <a:prstDash val="solid"/>
              </a:ln>
            </c:spPr>
          </c:dPt>
          <c:dPt>
            <c:idx val="1"/>
            <c:bubble3D val="0"/>
            <c:spPr>
              <a:solidFill>
                <a:srgbClr val="993366"/>
              </a:solidFill>
              <a:ln w="11993">
                <a:solidFill>
                  <a:srgbClr val="000000"/>
                </a:solidFill>
                <a:prstDash val="solid"/>
              </a:ln>
            </c:spPr>
          </c:dPt>
          <c:cat>
            <c:strRef>
              <c:f>ورقة1!$A$3:$A$6</c:f>
              <c:strCache>
                <c:ptCount val="3"/>
                <c:pt idx="0">
                  <c:v>Non Frail</c:v>
                </c:pt>
                <c:pt idx="1">
                  <c:v>Pre Frail</c:v>
                </c:pt>
                <c:pt idx="2">
                  <c:v>Frail</c:v>
                </c:pt>
              </c:strCache>
            </c:strRef>
          </c:cat>
          <c:val>
            <c:numRef>
              <c:f>ورقة1!$B$3:$B$6</c:f>
              <c:numCache>
                <c:formatCode>General</c:formatCode>
                <c:ptCount val="3"/>
                <c:pt idx="0">
                  <c:v>24</c:v>
                </c:pt>
                <c:pt idx="1">
                  <c:v>20</c:v>
                </c:pt>
                <c:pt idx="2">
                  <c:v>46</c:v>
                </c:pt>
              </c:numCache>
            </c:numRef>
          </c:val>
        </c:ser>
        <c:ser>
          <c:idx val="3"/>
          <c:order val="3"/>
          <c:spPr>
            <a:solidFill>
              <a:srgbClr val="CCFFFF"/>
            </a:solidFill>
            <a:ln w="11993">
              <a:solidFill>
                <a:srgbClr val="000000"/>
              </a:solidFill>
              <a:prstDash val="solid"/>
            </a:ln>
          </c:spPr>
          <c:dPt>
            <c:idx val="0"/>
            <c:bubble3D val="0"/>
            <c:spPr>
              <a:solidFill>
                <a:srgbClr val="9999FF"/>
              </a:solidFill>
              <a:ln w="11993">
                <a:solidFill>
                  <a:srgbClr val="000000"/>
                </a:solidFill>
                <a:prstDash val="solid"/>
              </a:ln>
            </c:spPr>
          </c:dPt>
          <c:dPt>
            <c:idx val="1"/>
            <c:bubble3D val="0"/>
            <c:spPr>
              <a:solidFill>
                <a:srgbClr val="993366"/>
              </a:solidFill>
              <a:ln w="11993">
                <a:solidFill>
                  <a:srgbClr val="000000"/>
                </a:solidFill>
                <a:prstDash val="solid"/>
              </a:ln>
            </c:spPr>
          </c:dPt>
          <c:dPt>
            <c:idx val="2"/>
            <c:bubble3D val="0"/>
            <c:spPr>
              <a:solidFill>
                <a:srgbClr val="FFFFCC"/>
              </a:solidFill>
              <a:ln w="11993">
                <a:solidFill>
                  <a:srgbClr val="000000"/>
                </a:solidFill>
                <a:prstDash val="solid"/>
              </a:ln>
            </c:spPr>
          </c:dPt>
          <c:cat>
            <c:strRef>
              <c:f>ورقة1!$A$3:$A$6</c:f>
              <c:strCache>
                <c:ptCount val="3"/>
                <c:pt idx="0">
                  <c:v>Non Frail</c:v>
                </c:pt>
                <c:pt idx="1">
                  <c:v>Pre Frail</c:v>
                </c:pt>
                <c:pt idx="2">
                  <c:v>Frail</c:v>
                </c:pt>
              </c:strCache>
            </c:strRef>
          </c:cat>
          <c:val>
            <c:numRef>
              <c:f>ورقة1!$C$3:$C$6</c:f>
              <c:numCache>
                <c:formatCode>General</c:formatCode>
                <c:ptCount val="3"/>
                <c:pt idx="0">
                  <c:v>26.67</c:v>
                </c:pt>
                <c:pt idx="1">
                  <c:v>22.22</c:v>
                </c:pt>
                <c:pt idx="2">
                  <c:v>51.11</c:v>
                </c:pt>
              </c:numCache>
            </c:numRef>
          </c:val>
        </c:ser>
        <c:dLbls>
          <c:showLegendKey val="0"/>
          <c:showVal val="0"/>
          <c:showCatName val="0"/>
          <c:showSerName val="0"/>
          <c:showPercent val="0"/>
          <c:showBubbleSize val="0"/>
          <c:showLeaderLines val="0"/>
        </c:dLbls>
        <c:firstSliceAng val="0"/>
      </c:pieChart>
      <c:spPr>
        <a:noFill/>
      </c:spPr>
    </c:plotArea>
    <c:plotVisOnly val="1"/>
    <c:dispBlanksAs val="zero"/>
    <c:showDLblsOverMax val="0"/>
  </c:chart>
  <c:spPr>
    <a:blipFill>
      <a:blip xmlns:r="http://schemas.openxmlformats.org/officeDocument/2006/relationships" r:embed="rId5"/>
      <a:stretch>
        <a:fillRect/>
      </a:stretch>
    </a:blipFill>
    <a:ln w="23985">
      <a:solidFill>
        <a:srgbClr val="4F81BD"/>
      </a:solidFill>
      <a:prstDash val="solid"/>
    </a:ln>
    <a:effectLst>
      <a:outerShdw blurRad="50800" dist="38100" dir="2700000" algn="tl" rotWithShape="0">
        <a:prstClr val="black">
          <a:alpha val="40000"/>
        </a:prstClr>
      </a:outerShdw>
    </a:effectLst>
  </c:spPr>
  <c:txPr>
    <a:bodyPr/>
    <a:lstStyle/>
    <a:p>
      <a:pPr>
        <a:defRPr sz="897" b="1" i="0" u="none" strike="noStrike" baseline="0">
          <a:solidFill>
            <a:srgbClr val="000000"/>
          </a:solidFill>
          <a:latin typeface="Arial"/>
          <a:ea typeface="Arial"/>
          <a:cs typeface="Arial"/>
        </a:defRPr>
      </a:pPr>
      <a:endParaRPr lang="en-US"/>
    </a:p>
  </c:txPr>
  <c:externalData r:id="rId6">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1C76B-319C-46B4-BFC4-6B2404D1A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4851</Words>
  <Characters>27657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Rampyari</cp:lastModifiedBy>
  <cp:revision>3</cp:revision>
  <cp:lastPrinted>2014-05-27T06:14:00Z</cp:lastPrinted>
  <dcterms:created xsi:type="dcterms:W3CDTF">2017-02-27T12:13:00Z</dcterms:created>
  <dcterms:modified xsi:type="dcterms:W3CDTF">2017-02-28T08:18:00Z</dcterms:modified>
</cp:coreProperties>
</file>